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035F" w14:textId="77777777" w:rsidR="00167049" w:rsidRDefault="00167049">
      <w:pPr>
        <w:framePr w:w="12179" w:h="3143" w:hRule="exact" w:hSpace="187" w:wrap="auto" w:vAnchor="text" w:hAnchor="page" w:x="6" w:y="-1263"/>
        <w:jc w:val="center"/>
        <w:rPr>
          <w:rFonts w:ascii="Verdana" w:hAnsi="Verdana"/>
          <w:rtl/>
          <w:lang w:bidi="ar-JO"/>
        </w:rPr>
      </w:pPr>
    </w:p>
    <w:p w14:paraId="6F914A92" w14:textId="77777777" w:rsidR="00167049" w:rsidRPr="00C32331" w:rsidRDefault="00B25276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eastAsia="en-GB"/>
        </w:rPr>
      </w:pPr>
      <w:r w:rsidRPr="00C32331"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FA46C6" wp14:editId="2F79DAE5">
            <wp:simplePos x="0" y="0"/>
            <wp:positionH relativeFrom="column">
              <wp:posOffset>-50800</wp:posOffset>
            </wp:positionH>
            <wp:positionV relativeFrom="paragraph">
              <wp:posOffset>22225</wp:posOffset>
            </wp:positionV>
            <wp:extent cx="6897370" cy="173609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B502" w14:textId="77777777" w:rsidR="00167049" w:rsidRPr="00C32331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34BACBD8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 xml:space="preserve">Arab Advisors Group </w:t>
      </w:r>
    </w:p>
    <w:p w14:paraId="7D2AE732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71F45F2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46F41E7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>Amman</w:t>
      </w:r>
    </w:p>
    <w:p w14:paraId="1E424C7F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Tel 962.6.</w:t>
      </w:r>
      <w:r w:rsidR="00997670" w:rsidRPr="00C32331">
        <w:rPr>
          <w:rFonts w:ascii="Verdana" w:hAnsi="Verdana"/>
          <w:sz w:val="16"/>
        </w:rPr>
        <w:t>5681608</w:t>
      </w:r>
    </w:p>
    <w:p w14:paraId="707D689E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 xml:space="preserve"> Fax 962.6.</w:t>
      </w:r>
      <w:r w:rsidR="00997670" w:rsidRPr="00C32331">
        <w:t xml:space="preserve"> </w:t>
      </w:r>
      <w:r w:rsidR="00997670" w:rsidRPr="00C32331">
        <w:rPr>
          <w:rFonts w:ascii="Verdana" w:hAnsi="Verdana"/>
          <w:sz w:val="16"/>
        </w:rPr>
        <w:t>5681530</w:t>
      </w:r>
    </w:p>
    <w:p w14:paraId="1623765A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C32331">
        <w:rPr>
          <w:rFonts w:ascii="Verdana" w:hAnsi="Verdana"/>
          <w:sz w:val="16"/>
        </w:rPr>
        <w:t>PO Box 2374, Amman 11821</w:t>
      </w:r>
    </w:p>
    <w:p w14:paraId="69802566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Jordan</w:t>
      </w:r>
    </w:p>
    <w:p w14:paraId="7427979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2DEE6387" w14:textId="77777777" w:rsidR="00167049" w:rsidRPr="00C32331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C32331">
        <w:rPr>
          <w:color w:val="auto"/>
          <w:sz w:val="16"/>
        </w:rPr>
        <w:t>For more information</w:t>
      </w:r>
    </w:p>
    <w:p w14:paraId="2D6D0165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www.arabadvisors.com</w:t>
      </w:r>
    </w:p>
    <w:p w14:paraId="49DB40E1" w14:textId="77777777" w:rsidR="00167049" w:rsidRPr="00C32331" w:rsidRDefault="0050592A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8" w:history="1">
        <w:r w:rsidR="00997670" w:rsidRPr="00C32331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C32331">
        <w:rPr>
          <w:rFonts w:ascii="Verdana" w:hAnsi="Verdana"/>
          <w:sz w:val="16"/>
          <w:lang w:eastAsia="en-GB"/>
        </w:rPr>
        <w:t xml:space="preserve"> </w:t>
      </w:r>
    </w:p>
    <w:p w14:paraId="7B54D29F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0212AA2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36D288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DB95654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2A31CA1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32182EE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7A8CA5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682CD3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48C68B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99A8BC1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8F018F8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FAC23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7FA06A1" w14:textId="77777777" w:rsidR="00167049" w:rsidRPr="00C32331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7DDD4D57" w14:textId="77777777" w:rsidR="00167049" w:rsidRPr="00C32331" w:rsidRDefault="00167049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C32331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2DECF04D" w14:textId="77777777" w:rsidR="00400D75" w:rsidRPr="00C32331" w:rsidRDefault="00400D75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75CB90D0" w14:textId="2FCC7C59" w:rsidR="00167049" w:rsidRPr="0012589A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sz w:val="36"/>
          <w:szCs w:val="36"/>
        </w:rPr>
      </w:pPr>
      <w:r w:rsidRPr="00593A0E">
        <w:rPr>
          <w:rFonts w:ascii="Tahoma" w:hAnsi="Tahoma" w:cs="Tahoma"/>
          <w:rtl/>
        </w:rPr>
        <w:t xml:space="preserve">بيــــان صحفــي </w:t>
      </w:r>
      <w:r w:rsidR="00E04817" w:rsidRPr="00593A0E">
        <w:rPr>
          <w:rFonts w:ascii="Tahoma" w:hAnsi="Tahoma" w:cs="Tahoma" w:hint="cs"/>
          <w:rtl/>
        </w:rPr>
        <w:t xml:space="preserve">– </w:t>
      </w:r>
      <w:r w:rsidR="00AE2962">
        <w:rPr>
          <w:rFonts w:ascii="Tahoma" w:hAnsi="Tahoma" w:cs="Tahoma"/>
        </w:rPr>
        <w:t>31</w:t>
      </w:r>
      <w:bookmarkStart w:id="0" w:name="_GoBack"/>
      <w:bookmarkEnd w:id="0"/>
      <w:r w:rsidR="002A3419" w:rsidRPr="002A3419">
        <w:rPr>
          <w:rFonts w:ascii="Tahoma" w:hAnsi="Tahoma" w:cs="Tahoma" w:hint="cs"/>
          <w:rtl/>
        </w:rPr>
        <w:t xml:space="preserve"> </w:t>
      </w:r>
      <w:r w:rsidR="00306FFD" w:rsidRPr="00306FFD">
        <w:rPr>
          <w:rFonts w:ascii="Tahoma" w:hAnsi="Tahoma" w:cs="Tahoma"/>
          <w:rtl/>
          <w:lang w:bidi="ar-JO"/>
        </w:rPr>
        <w:t>كانون الثاني</w:t>
      </w:r>
      <w:r w:rsidR="00306FFD">
        <w:rPr>
          <w:rFonts w:ascii="Tahoma" w:hAnsi="Tahoma" w:cs="Tahoma"/>
          <w:lang w:bidi="ar-JO"/>
        </w:rPr>
        <w:t>2024</w:t>
      </w:r>
    </w:p>
    <w:p w14:paraId="1D7F6969" w14:textId="77777777" w:rsidR="00167049" w:rsidRPr="00C32331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3BFB9FB6" w14:textId="77777777" w:rsidR="00167049" w:rsidRPr="00C32331" w:rsidRDefault="00167049">
      <w:pPr>
        <w:pStyle w:val="PlainText"/>
        <w:rPr>
          <w:rFonts w:ascii="Verdana" w:eastAsia="MS Mincho" w:hAnsi="Verdana"/>
          <w:lang w:val="en-US"/>
        </w:rPr>
      </w:pPr>
    </w:p>
    <w:p w14:paraId="3F2AD64B" w14:textId="7E9A32A6" w:rsidR="00167049" w:rsidRPr="00F60DEC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 xml:space="preserve">Media Contact: </w:t>
      </w:r>
      <w:r w:rsidR="00F60DEC" w:rsidRPr="00F60DEC">
        <w:rPr>
          <w:rFonts w:ascii="Verdana" w:hAnsi="Verdana"/>
          <w:b/>
          <w:bCs/>
          <w:sz w:val="18"/>
        </w:rPr>
        <w:t>Rula Jabr</w:t>
      </w:r>
    </w:p>
    <w:p w14:paraId="696BD888" w14:textId="77777777" w:rsidR="00167049" w:rsidRPr="00F60DEC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>+</w:t>
      </w:r>
      <w:r w:rsidR="00997670" w:rsidRPr="00F60DEC">
        <w:rPr>
          <w:rFonts w:ascii="Verdana" w:hAnsi="Verdana"/>
          <w:b/>
          <w:bCs/>
          <w:sz w:val="18"/>
        </w:rPr>
        <w:t>962.6.5681608</w:t>
      </w:r>
    </w:p>
    <w:p w14:paraId="695EB8B6" w14:textId="1CFC3E1C" w:rsidR="00167049" w:rsidRPr="00C32331" w:rsidRDefault="0050592A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9" w:history="1">
        <w:r w:rsidR="00F60DEC" w:rsidRPr="00F60DEC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C32331">
        <w:rPr>
          <w:rFonts w:ascii="Verdana" w:hAnsi="Verdana"/>
          <w:sz w:val="18"/>
        </w:rPr>
        <w:t xml:space="preserve"> </w:t>
      </w:r>
    </w:p>
    <w:p w14:paraId="0DA86711" w14:textId="7BA05948" w:rsidR="00306FFD" w:rsidRDefault="00833484" w:rsidP="00455F05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  <w:lang w:bidi="ar-JO"/>
        </w:rPr>
      </w:pPr>
      <w:r>
        <w:rPr>
          <w:rFonts w:ascii="Tahoma" w:eastAsia="Tahoma" w:hAnsi="Tahoma" w:cs="Tahoma" w:hint="cs"/>
          <w:b/>
          <w:bCs/>
          <w:color w:val="222222"/>
          <w:rtl/>
          <w:lang w:bidi="ar-AE"/>
        </w:rPr>
        <w:t>440 مليون خط خل</w:t>
      </w:r>
      <w:r w:rsidR="003770BC">
        <w:rPr>
          <w:rFonts w:ascii="Tahoma" w:eastAsia="Tahoma" w:hAnsi="Tahoma" w:cs="Tahoma" w:hint="cs"/>
          <w:b/>
          <w:bCs/>
          <w:color w:val="222222"/>
          <w:rtl/>
          <w:lang w:bidi="ar-AE"/>
        </w:rPr>
        <w:t>ي</w:t>
      </w:r>
      <w:r>
        <w:rPr>
          <w:rFonts w:ascii="Tahoma" w:eastAsia="Tahoma" w:hAnsi="Tahoma" w:cs="Tahoma" w:hint="cs"/>
          <w:b/>
          <w:bCs/>
          <w:color w:val="222222"/>
          <w:rtl/>
          <w:lang w:bidi="ar-AE"/>
        </w:rPr>
        <w:t xml:space="preserve">وي في </w:t>
      </w:r>
      <w:r w:rsidR="00306FFD">
        <w:rPr>
          <w:rFonts w:ascii="Tahoma" w:eastAsia="Tahoma" w:hAnsi="Tahoma" w:cs="Tahoma" w:hint="cs"/>
          <w:b/>
          <w:bCs/>
          <w:color w:val="222222"/>
          <w:rtl/>
          <w:lang w:bidi="ar-JO"/>
        </w:rPr>
        <w:t xml:space="preserve">16 </w:t>
      </w:r>
      <w:r>
        <w:rPr>
          <w:rFonts w:ascii="Tahoma" w:eastAsia="Tahoma" w:hAnsi="Tahoma" w:cs="Tahoma" w:hint="cs"/>
          <w:b/>
          <w:bCs/>
          <w:color w:val="222222"/>
          <w:rtl/>
          <w:lang w:bidi="ar-JO"/>
        </w:rPr>
        <w:t>دولة عربية في 2023</w:t>
      </w:r>
    </w:p>
    <w:p w14:paraId="08C6F2CF" w14:textId="393998EA" w:rsidR="00306FFD" w:rsidRDefault="002A3419" w:rsidP="00306FFD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  <w:lang w:bidi="ar-JO"/>
        </w:rPr>
      </w:pPr>
      <w:r w:rsidRPr="002A3419">
        <w:rPr>
          <w:rFonts w:ascii="Tahoma" w:hAnsi="Tahoma" w:cs="Tahoma"/>
          <w:sz w:val="18"/>
          <w:szCs w:val="18"/>
          <w:rtl/>
          <w:lang w:bidi="ar-JO"/>
        </w:rPr>
        <w:t xml:space="preserve">أصدرت مجموعة </w:t>
      </w:r>
      <w:r>
        <w:rPr>
          <w:rFonts w:ascii="Tahoma" w:hAnsi="Tahoma" w:cs="Tahoma" w:hint="cs"/>
          <w:sz w:val="18"/>
          <w:szCs w:val="18"/>
          <w:rtl/>
          <w:lang w:bidi="ar-JO"/>
        </w:rPr>
        <w:t>المرشدين</w:t>
      </w:r>
      <w:r w:rsidRPr="002A3419">
        <w:rPr>
          <w:rFonts w:ascii="Tahoma" w:hAnsi="Tahoma" w:cs="Tahoma"/>
          <w:sz w:val="18"/>
          <w:szCs w:val="18"/>
          <w:rtl/>
          <w:lang w:bidi="ar-JO"/>
        </w:rPr>
        <w:t xml:space="preserve"> العرب تقريرا تحليليا جديدا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>مكون</w:t>
      </w:r>
      <w:r w:rsidR="003770BC">
        <w:rPr>
          <w:rFonts w:ascii="Tahoma" w:hAnsi="Tahoma" w:cs="Tahoma" w:hint="cs"/>
          <w:sz w:val="18"/>
          <w:szCs w:val="18"/>
          <w:rtl/>
          <w:lang w:bidi="ar-JO"/>
        </w:rPr>
        <w:t>ًا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 من جزئين يحلل مؤشرات الأداء الرئيسية لمشغلي الهاتف الخليوي في الوطن الع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 xml:space="preserve">ربي. </w:t>
      </w:r>
      <w:r w:rsidR="00306FFD">
        <w:rPr>
          <w:rFonts w:ascii="Tahoma" w:hAnsi="Tahoma" w:cs="Tahoma"/>
          <w:sz w:val="18"/>
          <w:szCs w:val="18"/>
          <w:lang w:bidi="ar-JO"/>
        </w:rPr>
        <w:t xml:space="preserve"> 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>ويحلل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 التقرير المكون من جزئين أسواق الهواتف الخلوية على مستوى البلدان وال</w:t>
      </w:r>
      <w:r w:rsidR="00A72730">
        <w:rPr>
          <w:rFonts w:ascii="Tahoma" w:hAnsi="Tahoma" w:cs="Tahoma" w:hint="cs"/>
          <w:sz w:val="18"/>
          <w:szCs w:val="18"/>
          <w:rtl/>
          <w:lang w:bidi="ar-JO"/>
        </w:rPr>
        <w:t>مشغلين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. </w:t>
      </w:r>
      <w:r w:rsidR="00B02681">
        <w:rPr>
          <w:rFonts w:ascii="Tahoma" w:hAnsi="Tahoma" w:cs="Tahoma" w:hint="cs"/>
          <w:sz w:val="18"/>
          <w:szCs w:val="18"/>
          <w:rtl/>
          <w:lang w:bidi="ar-JO"/>
        </w:rPr>
        <w:t xml:space="preserve">قام فريقنا 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بتحليل قواعد المشتركين 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>وحصص أسواق وايرادات ومتوسط الايرادات ل</w:t>
      </w:r>
      <w:r w:rsidR="003770BC">
        <w:rPr>
          <w:rFonts w:ascii="Tahoma" w:hAnsi="Tahoma" w:cs="Tahoma" w:hint="cs"/>
          <w:sz w:val="18"/>
          <w:szCs w:val="18"/>
          <w:rtl/>
          <w:lang w:bidi="ar-JO"/>
        </w:rPr>
        <w:t>ك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>ل</w:t>
      </w:r>
      <w:r w:rsidR="003770BC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 xml:space="preserve">مستخدم لكل من </w:t>
      </w:r>
      <w:r w:rsidR="00A72730">
        <w:rPr>
          <w:rFonts w:ascii="Tahoma" w:hAnsi="Tahoma" w:cs="Tahoma" w:hint="cs"/>
          <w:sz w:val="18"/>
          <w:szCs w:val="18"/>
          <w:rtl/>
          <w:lang w:bidi="ar-JO"/>
        </w:rPr>
        <w:t>مشغلي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 ال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>هاتف الخليوي العاملة في المنطقة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>، و</w:t>
      </w:r>
      <w:r w:rsidR="00B02681">
        <w:rPr>
          <w:rFonts w:ascii="Tahoma" w:hAnsi="Tahoma" w:cs="Tahoma" w:hint="cs"/>
          <w:sz w:val="18"/>
          <w:szCs w:val="18"/>
          <w:rtl/>
          <w:lang w:bidi="ar-JO"/>
        </w:rPr>
        <w:t>ال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حصص </w:t>
      </w:r>
      <w:r w:rsidR="00B02681">
        <w:rPr>
          <w:rFonts w:ascii="Tahoma" w:hAnsi="Tahoma" w:cs="Tahoma" w:hint="cs"/>
          <w:sz w:val="18"/>
          <w:szCs w:val="18"/>
          <w:rtl/>
          <w:lang w:bidi="ar-JO"/>
        </w:rPr>
        <w:t>السوقية ل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>ل</w:t>
      </w:r>
      <w:r w:rsidR="00A72730">
        <w:rPr>
          <w:rFonts w:ascii="Tahoma" w:hAnsi="Tahoma" w:cs="Tahoma" w:hint="cs"/>
          <w:sz w:val="18"/>
          <w:szCs w:val="18"/>
          <w:rtl/>
          <w:lang w:bidi="ar-JO"/>
        </w:rPr>
        <w:t xml:space="preserve">مشغلين 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>خلال عام 2022 والنصف الأول من عام 2023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 xml:space="preserve">. وكما قدم التقرير 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تحليلا شاملا لمؤشرات الأداء الرئيسية  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>لمجموعات الاتصالات</w:t>
      </w:r>
      <w:r w:rsidR="00306FFD" w:rsidRPr="00306FFD">
        <w:rPr>
          <w:rFonts w:ascii="Tahoma" w:hAnsi="Tahoma" w:cs="Tahoma"/>
          <w:sz w:val="18"/>
          <w:szCs w:val="18"/>
          <w:rtl/>
          <w:lang w:bidi="ar-JO"/>
        </w:rPr>
        <w:t xml:space="preserve"> في الوطن العربي</w:t>
      </w:r>
      <w:r w:rsidR="00306FFD">
        <w:rPr>
          <w:rFonts w:ascii="Tahoma" w:hAnsi="Tahoma" w:cs="Tahoma" w:hint="cs"/>
          <w:sz w:val="18"/>
          <w:szCs w:val="18"/>
          <w:rtl/>
          <w:lang w:bidi="ar-JO"/>
        </w:rPr>
        <w:t xml:space="preserve"> خلال نفس الفترة.</w:t>
      </w:r>
    </w:p>
    <w:p w14:paraId="1CC70065" w14:textId="38C35CCE" w:rsidR="00306FFD" w:rsidRPr="00A72730" w:rsidRDefault="00306FFD" w:rsidP="00306FFD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  <w:lang w:bidi="ar-JO"/>
        </w:rPr>
      </w:pPr>
    </w:p>
    <w:p w14:paraId="39CC237A" w14:textId="24DC6317" w:rsidR="00193D70" w:rsidRPr="00193D70" w:rsidRDefault="00193D70" w:rsidP="00193D70">
      <w:pPr>
        <w:bidi/>
        <w:rPr>
          <w:rFonts w:ascii="Tahoma" w:eastAsia="Tahoma" w:hAnsi="Tahoma" w:cs="Tahoma"/>
          <w:sz w:val="22"/>
          <w:szCs w:val="22"/>
          <w:lang w:bidi="ar-JO"/>
        </w:rPr>
      </w:pPr>
      <w:r w:rsidRPr="00193D70">
        <w:rPr>
          <w:rFonts w:ascii="Tahoma" w:eastAsia="Tahoma" w:hAnsi="Tahoma" w:cs="Tahoma" w:hint="cs"/>
          <w:sz w:val="22"/>
          <w:szCs w:val="22"/>
          <w:rtl/>
        </w:rPr>
        <w:t xml:space="preserve">تتسم </w:t>
      </w:r>
      <w:r w:rsidRPr="00193D70">
        <w:rPr>
          <w:rFonts w:ascii="Tahoma" w:eastAsia="Tahoma" w:hAnsi="Tahoma" w:cs="Tahoma"/>
          <w:sz w:val="22"/>
          <w:szCs w:val="22"/>
          <w:rtl/>
        </w:rPr>
        <w:t>أسواق الهواتف الخل</w:t>
      </w:r>
      <w:r w:rsidR="00A72730">
        <w:rPr>
          <w:rFonts w:ascii="Tahoma" w:eastAsia="Tahoma" w:hAnsi="Tahoma" w:cs="Tahoma" w:hint="cs"/>
          <w:sz w:val="22"/>
          <w:szCs w:val="22"/>
          <w:rtl/>
        </w:rPr>
        <w:t>ي</w:t>
      </w:r>
      <w:r w:rsidRPr="00193D70">
        <w:rPr>
          <w:rFonts w:ascii="Tahoma" w:eastAsia="Tahoma" w:hAnsi="Tahoma" w:cs="Tahoma"/>
          <w:sz w:val="22"/>
          <w:szCs w:val="22"/>
          <w:rtl/>
        </w:rPr>
        <w:t>وي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ة في الوطن العربي </w:t>
      </w:r>
      <w:r w:rsidR="00B02681">
        <w:rPr>
          <w:rFonts w:ascii="Tahoma" w:eastAsia="Tahoma" w:hAnsi="Tahoma" w:cs="Tahoma" w:hint="cs"/>
          <w:sz w:val="22"/>
          <w:szCs w:val="22"/>
          <w:rtl/>
        </w:rPr>
        <w:t>ب</w:t>
      </w:r>
      <w:r w:rsidRPr="00193D70">
        <w:rPr>
          <w:rFonts w:ascii="Tahoma" w:eastAsia="Tahoma" w:hAnsi="Tahoma" w:cs="Tahoma"/>
          <w:sz w:val="22"/>
          <w:szCs w:val="22"/>
          <w:rtl/>
        </w:rPr>
        <w:t xml:space="preserve">تنافسية عالية، حيث يتم خدمة معظمها من قبل ثلاثة مشغلين على الأقل في كل دولة. وتتعزز القدرة التنافسية في </w:t>
      </w:r>
      <w:r>
        <w:rPr>
          <w:rFonts w:ascii="Tahoma" w:eastAsia="Tahoma" w:hAnsi="Tahoma" w:cs="Tahoma" w:hint="cs"/>
          <w:sz w:val="22"/>
          <w:szCs w:val="22"/>
          <w:rtl/>
        </w:rPr>
        <w:t>أ</w:t>
      </w:r>
      <w:r w:rsidRPr="00193D70">
        <w:rPr>
          <w:rFonts w:ascii="Tahoma" w:eastAsia="Tahoma" w:hAnsi="Tahoma" w:cs="Tahoma"/>
          <w:sz w:val="22"/>
          <w:szCs w:val="22"/>
          <w:rtl/>
        </w:rPr>
        <w:t>سو</w:t>
      </w:r>
      <w:r>
        <w:rPr>
          <w:rFonts w:ascii="Tahoma" w:eastAsia="Tahoma" w:hAnsi="Tahoma" w:cs="Tahoma" w:hint="cs"/>
          <w:sz w:val="22"/>
          <w:szCs w:val="22"/>
          <w:rtl/>
        </w:rPr>
        <w:t>ا</w:t>
      </w:r>
      <w:r w:rsidRPr="00193D70">
        <w:rPr>
          <w:rFonts w:ascii="Tahoma" w:eastAsia="Tahoma" w:hAnsi="Tahoma" w:cs="Tahoma"/>
          <w:sz w:val="22"/>
          <w:szCs w:val="22"/>
          <w:rtl/>
        </w:rPr>
        <w:t xml:space="preserve">ق 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الهواتف الخليوية في المنطقة </w:t>
      </w:r>
      <w:r w:rsidRPr="00193D70">
        <w:rPr>
          <w:rFonts w:ascii="Tahoma" w:eastAsia="Tahoma" w:hAnsi="Tahoma" w:cs="Tahoma"/>
          <w:sz w:val="22"/>
          <w:szCs w:val="22"/>
          <w:rtl/>
        </w:rPr>
        <w:t>من خلال وجود مشغلي شبكات الهاتف المحمول الافتراضية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. </w:t>
      </w:r>
      <w:r w:rsidRPr="00193D70">
        <w:rPr>
          <w:rFonts w:ascii="Tahoma" w:eastAsia="Tahoma" w:hAnsi="Tahoma" w:cs="Tahoma"/>
          <w:sz w:val="22"/>
          <w:szCs w:val="22"/>
          <w:rtl/>
        </w:rPr>
        <w:t>وبالإضافة إلى مستويات التنافس</w:t>
      </w:r>
      <w:r w:rsidR="00B02681">
        <w:rPr>
          <w:rFonts w:ascii="Tahoma" w:eastAsia="Tahoma" w:hAnsi="Tahoma" w:cs="Tahoma" w:hint="cs"/>
          <w:sz w:val="22"/>
          <w:szCs w:val="22"/>
          <w:rtl/>
        </w:rPr>
        <w:t xml:space="preserve">ية </w:t>
      </w:r>
      <w:r w:rsidRPr="00193D70">
        <w:rPr>
          <w:rFonts w:ascii="Tahoma" w:eastAsia="Tahoma" w:hAnsi="Tahoma" w:cs="Tahoma"/>
          <w:sz w:val="22"/>
          <w:szCs w:val="22"/>
          <w:rtl/>
        </w:rPr>
        <w:t>، فإن غالبية أسواق الهواتف الخل</w:t>
      </w:r>
      <w:r w:rsidR="00A72730">
        <w:rPr>
          <w:rFonts w:ascii="Tahoma" w:eastAsia="Tahoma" w:hAnsi="Tahoma" w:cs="Tahoma" w:hint="cs"/>
          <w:sz w:val="22"/>
          <w:szCs w:val="22"/>
          <w:rtl/>
        </w:rPr>
        <w:t>ي</w:t>
      </w:r>
      <w:r w:rsidRPr="00193D70">
        <w:rPr>
          <w:rFonts w:ascii="Tahoma" w:eastAsia="Tahoma" w:hAnsi="Tahoma" w:cs="Tahoma"/>
          <w:sz w:val="22"/>
          <w:szCs w:val="22"/>
          <w:rtl/>
        </w:rPr>
        <w:t xml:space="preserve">وية في منطقة الشرق الأوسط وشمال أفريقيا </w:t>
      </w:r>
      <w:r w:rsidR="00B02681">
        <w:rPr>
          <w:rFonts w:ascii="Tahoma" w:eastAsia="Tahoma" w:hAnsi="Tahoma" w:cs="Tahoma" w:hint="cs"/>
          <w:sz w:val="22"/>
          <w:szCs w:val="22"/>
          <w:rtl/>
        </w:rPr>
        <w:t xml:space="preserve">تتميز </w:t>
      </w:r>
      <w:r w:rsidRPr="00193D70">
        <w:rPr>
          <w:rFonts w:ascii="Tahoma" w:eastAsia="Tahoma" w:hAnsi="Tahoma" w:cs="Tahoma"/>
          <w:sz w:val="22"/>
          <w:szCs w:val="22"/>
          <w:rtl/>
        </w:rPr>
        <w:t>بمعدلات انتشار للهواتف الخلوية تتجاوز 90٪.</w:t>
      </w:r>
    </w:p>
    <w:p w14:paraId="48F988D2" w14:textId="77777777" w:rsidR="009841AB" w:rsidRPr="009841AB" w:rsidRDefault="009841AB" w:rsidP="009841AB">
      <w:pPr>
        <w:rPr>
          <w:rFonts w:ascii="Tahoma" w:eastAsia="Tahoma" w:hAnsi="Tahoma" w:cs="Tahoma"/>
          <w:sz w:val="22"/>
          <w:szCs w:val="22"/>
          <w:rtl/>
        </w:rPr>
      </w:pPr>
    </w:p>
    <w:p w14:paraId="04AAEE0A" w14:textId="745D894F" w:rsidR="0024339D" w:rsidRPr="0024339D" w:rsidRDefault="0024339D" w:rsidP="0024339D">
      <w:pPr>
        <w:bidi/>
        <w:rPr>
          <w:rFonts w:ascii="Tahoma" w:eastAsia="Tahoma" w:hAnsi="Tahoma" w:cs="Tahoma"/>
          <w:sz w:val="22"/>
          <w:szCs w:val="22"/>
          <w:rtl/>
        </w:rPr>
      </w:pPr>
      <w:r w:rsidRPr="0024339D">
        <w:rPr>
          <w:rFonts w:ascii="Tahoma" w:eastAsia="Tahoma" w:hAnsi="Tahoma" w:cs="Tahoma"/>
          <w:sz w:val="22"/>
          <w:szCs w:val="22"/>
          <w:rtl/>
        </w:rPr>
        <w:t xml:space="preserve">يجيب </w:t>
      </w:r>
      <w:r>
        <w:rPr>
          <w:rFonts w:ascii="Tahoma" w:eastAsia="Tahoma" w:hAnsi="Tahoma" w:cs="Tahoma" w:hint="cs"/>
          <w:sz w:val="22"/>
          <w:szCs w:val="22"/>
          <w:rtl/>
        </w:rPr>
        <w:t>ال</w:t>
      </w:r>
      <w:r w:rsidRPr="0024339D">
        <w:rPr>
          <w:rFonts w:ascii="Tahoma" w:eastAsia="Tahoma" w:hAnsi="Tahoma" w:cs="Tahoma"/>
          <w:sz w:val="22"/>
          <w:szCs w:val="22"/>
          <w:rtl/>
        </w:rPr>
        <w:t>تقرير</w:t>
      </w:r>
      <w:r w:rsidR="003770BC">
        <w:rPr>
          <w:rFonts w:ascii="Tahoma" w:eastAsia="Tahoma" w:hAnsi="Tahoma" w:cs="Tahoma" w:hint="cs"/>
          <w:sz w:val="22"/>
          <w:szCs w:val="22"/>
          <w:rtl/>
        </w:rPr>
        <w:t xml:space="preserve"> في جزئيه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 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>"</w:t>
      </w:r>
      <w:hyperlink r:id="rId10" w:history="1">
        <w:r w:rsidR="00193D70" w:rsidRPr="00A72730">
          <w:rPr>
            <w:rStyle w:val="Hyperlink"/>
            <w:rFonts w:ascii="Tahoma" w:eastAsia="Tahoma" w:hAnsi="Tahoma" w:cs="Tahoma"/>
            <w:sz w:val="22"/>
            <w:szCs w:val="22"/>
            <w:rtl/>
          </w:rPr>
          <w:t>تحليل مؤشرات الأداء الرئيسية لمشغلي الهاتف الخليوي في الوطن العربي</w:t>
        </w:r>
        <w:r w:rsidR="00193D70" w:rsidRPr="00A72730">
          <w:rPr>
            <w:rStyle w:val="Hyperlink"/>
            <w:rFonts w:ascii="Tahoma" w:eastAsia="Tahoma" w:hAnsi="Tahoma" w:cs="Tahoma" w:hint="cs"/>
            <w:sz w:val="22"/>
            <w:szCs w:val="22"/>
            <w:rtl/>
          </w:rPr>
          <w:t xml:space="preserve"> </w:t>
        </w:r>
        <w:r w:rsidR="00193D70" w:rsidRPr="00A72730">
          <w:rPr>
            <w:rStyle w:val="Hyperlink"/>
            <w:rFonts w:ascii="Tahoma" w:eastAsia="Tahoma" w:hAnsi="Tahoma" w:cs="Tahoma"/>
            <w:sz w:val="22"/>
            <w:szCs w:val="22"/>
            <w:rtl/>
          </w:rPr>
          <w:t>–</w:t>
        </w:r>
        <w:r w:rsidR="00193D70" w:rsidRPr="00A72730">
          <w:rPr>
            <w:rStyle w:val="Hyperlink"/>
            <w:rFonts w:ascii="Tahoma" w:eastAsia="Tahoma" w:hAnsi="Tahoma" w:cs="Tahoma" w:hint="cs"/>
            <w:sz w:val="22"/>
            <w:szCs w:val="22"/>
            <w:rtl/>
          </w:rPr>
          <w:t xml:space="preserve"> الجزء الاول</w:t>
        </w:r>
      </w:hyperlink>
      <w:r w:rsidR="00193D70" w:rsidRPr="00193D70">
        <w:rPr>
          <w:rFonts w:ascii="Tahoma" w:eastAsia="Tahoma" w:hAnsi="Tahoma" w:cs="Tahoma"/>
          <w:sz w:val="22"/>
          <w:szCs w:val="22"/>
          <w:rtl/>
        </w:rPr>
        <w:t>"</w:t>
      </w:r>
      <w:r w:rsidR="00193D70">
        <w:rPr>
          <w:rFonts w:ascii="Tahoma" w:eastAsia="Tahoma" w:hAnsi="Tahoma" w:cs="Tahoma" w:hint="cs"/>
          <w:sz w:val="22"/>
          <w:szCs w:val="22"/>
          <w:rtl/>
        </w:rPr>
        <w:t xml:space="preserve"> و 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>"</w:t>
      </w:r>
      <w:hyperlink r:id="rId11" w:history="1">
        <w:r w:rsidR="00193D70" w:rsidRPr="00A72730">
          <w:rPr>
            <w:rStyle w:val="Hyperlink"/>
            <w:rFonts w:ascii="Tahoma" w:eastAsia="Tahoma" w:hAnsi="Tahoma" w:cs="Tahoma"/>
            <w:sz w:val="22"/>
            <w:szCs w:val="22"/>
            <w:rtl/>
          </w:rPr>
          <w:t>تحليل مؤشرات الأداء الرئيسية لمشغلي الهاتف الخليوي في الوطن العربي</w:t>
        </w:r>
        <w:r w:rsidR="00193D70" w:rsidRPr="00A72730">
          <w:rPr>
            <w:rStyle w:val="Hyperlink"/>
            <w:rFonts w:ascii="Tahoma" w:eastAsia="Tahoma" w:hAnsi="Tahoma" w:cs="Tahoma" w:hint="cs"/>
            <w:sz w:val="22"/>
            <w:szCs w:val="22"/>
            <w:rtl/>
          </w:rPr>
          <w:t xml:space="preserve"> </w:t>
        </w:r>
        <w:r w:rsidR="00193D70" w:rsidRPr="00A72730">
          <w:rPr>
            <w:rStyle w:val="Hyperlink"/>
            <w:rFonts w:ascii="Tahoma" w:eastAsia="Tahoma" w:hAnsi="Tahoma" w:cs="Tahoma"/>
            <w:sz w:val="22"/>
            <w:szCs w:val="22"/>
            <w:rtl/>
          </w:rPr>
          <w:t>–</w:t>
        </w:r>
        <w:r w:rsidR="00193D70" w:rsidRPr="00A72730">
          <w:rPr>
            <w:rStyle w:val="Hyperlink"/>
            <w:rFonts w:ascii="Tahoma" w:eastAsia="Tahoma" w:hAnsi="Tahoma" w:cs="Tahoma" w:hint="cs"/>
            <w:sz w:val="22"/>
            <w:szCs w:val="22"/>
            <w:rtl/>
          </w:rPr>
          <w:t xml:space="preserve"> الجزء الثاني</w:t>
        </w:r>
      </w:hyperlink>
      <w:r w:rsidR="00193D70" w:rsidRPr="00193D70">
        <w:rPr>
          <w:rFonts w:ascii="Tahoma" w:eastAsia="Tahoma" w:hAnsi="Tahoma" w:cs="Tahoma"/>
          <w:sz w:val="22"/>
          <w:szCs w:val="22"/>
          <w:rtl/>
        </w:rPr>
        <w:t xml:space="preserve">" </w:t>
      </w:r>
      <w:r w:rsidRPr="0024339D">
        <w:rPr>
          <w:rFonts w:ascii="Tahoma" w:eastAsia="Tahoma" w:hAnsi="Tahoma" w:cs="Tahoma"/>
          <w:sz w:val="22"/>
          <w:szCs w:val="22"/>
          <w:rtl/>
        </w:rPr>
        <w:t>ا</w:t>
      </w:r>
      <w:r w:rsidR="003770BC">
        <w:rPr>
          <w:rFonts w:ascii="Tahoma" w:eastAsia="Tahoma" w:hAnsi="Tahoma" w:cs="Tahoma" w:hint="cs"/>
          <w:sz w:val="22"/>
          <w:szCs w:val="22"/>
          <w:rtl/>
        </w:rPr>
        <w:t>للذان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 </w:t>
      </w:r>
      <w:r w:rsidR="00193D70">
        <w:rPr>
          <w:rFonts w:ascii="Tahoma" w:eastAsia="Tahoma" w:hAnsi="Tahoma" w:cs="Tahoma" w:hint="cs"/>
          <w:sz w:val="22"/>
          <w:szCs w:val="22"/>
          <w:rtl/>
        </w:rPr>
        <w:t>تم ا</w:t>
      </w:r>
      <w:r w:rsidRPr="0024339D">
        <w:rPr>
          <w:rFonts w:ascii="Tahoma" w:eastAsia="Tahoma" w:hAnsi="Tahoma" w:cs="Tahoma"/>
          <w:sz w:val="22"/>
          <w:szCs w:val="22"/>
          <w:rtl/>
        </w:rPr>
        <w:t>صد</w:t>
      </w:r>
      <w:r w:rsidR="00A72730">
        <w:rPr>
          <w:rFonts w:ascii="Tahoma" w:eastAsia="Tahoma" w:hAnsi="Tahoma" w:cs="Tahoma" w:hint="cs"/>
          <w:sz w:val="22"/>
          <w:szCs w:val="22"/>
          <w:rtl/>
        </w:rPr>
        <w:t>ا</w:t>
      </w:r>
      <w:r w:rsidRPr="0024339D">
        <w:rPr>
          <w:rFonts w:ascii="Tahoma" w:eastAsia="Tahoma" w:hAnsi="Tahoma" w:cs="Tahoma"/>
          <w:sz w:val="22"/>
          <w:szCs w:val="22"/>
          <w:rtl/>
        </w:rPr>
        <w:t>ر</w:t>
      </w:r>
      <w:r w:rsidR="00193D70">
        <w:rPr>
          <w:rFonts w:ascii="Tahoma" w:eastAsia="Tahoma" w:hAnsi="Tahoma" w:cs="Tahoma" w:hint="cs"/>
          <w:sz w:val="22"/>
          <w:szCs w:val="22"/>
          <w:rtl/>
        </w:rPr>
        <w:t>هما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 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>في تشرين الثاني</w:t>
      </w:r>
      <w:r w:rsidR="00193D70">
        <w:rPr>
          <w:rFonts w:ascii="Tahoma" w:eastAsia="Tahoma" w:hAnsi="Tahoma" w:cs="Tahoma" w:hint="cs"/>
          <w:sz w:val="22"/>
          <w:szCs w:val="22"/>
          <w:rtl/>
        </w:rPr>
        <w:t xml:space="preserve"> 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 xml:space="preserve">2023 </w:t>
      </w:r>
      <w:r w:rsidR="00A72730">
        <w:rPr>
          <w:rFonts w:ascii="Tahoma" w:eastAsia="Tahoma" w:hAnsi="Tahoma" w:cs="Tahoma" w:hint="cs"/>
          <w:sz w:val="22"/>
          <w:szCs w:val="22"/>
          <w:rtl/>
        </w:rPr>
        <w:t>و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>كانون الاول</w:t>
      </w:r>
      <w:r w:rsidR="00193D70">
        <w:rPr>
          <w:rFonts w:ascii="Tahoma" w:eastAsia="Tahoma" w:hAnsi="Tahoma" w:cs="Tahoma" w:hint="cs"/>
          <w:sz w:val="22"/>
          <w:szCs w:val="22"/>
          <w:rtl/>
        </w:rPr>
        <w:t xml:space="preserve"> </w:t>
      </w:r>
      <w:r w:rsidR="00193D70" w:rsidRPr="00193D70">
        <w:rPr>
          <w:rFonts w:ascii="Tahoma" w:eastAsia="Tahoma" w:hAnsi="Tahoma" w:cs="Tahoma"/>
          <w:sz w:val="22"/>
          <w:szCs w:val="22"/>
          <w:rtl/>
        </w:rPr>
        <w:t>2023، على التوالي</w:t>
      </w:r>
      <w:r w:rsidRPr="0024339D">
        <w:rPr>
          <w:rFonts w:ascii="Tahoma" w:eastAsia="Tahoma" w:hAnsi="Tahoma" w:cs="Tahoma"/>
          <w:sz w:val="22"/>
          <w:szCs w:val="22"/>
          <w:rtl/>
        </w:rPr>
        <w:t>، على الأسئلة التالية:</w:t>
      </w:r>
    </w:p>
    <w:p w14:paraId="057B3C67" w14:textId="28FEA5A8" w:rsidR="002358DA" w:rsidRDefault="002358DA" w:rsidP="002358DA">
      <w:pPr>
        <w:bidi/>
        <w:jc w:val="both"/>
        <w:rPr>
          <w:rFonts w:ascii="Tahoma" w:eastAsia="Tahoma" w:hAnsi="Tahoma" w:cs="Tahoma"/>
          <w:i/>
          <w:iCs/>
          <w:sz w:val="22"/>
          <w:szCs w:val="22"/>
          <w:rtl/>
        </w:rPr>
      </w:pPr>
    </w:p>
    <w:p w14:paraId="4C25F3AD" w14:textId="76E0CE97" w:rsidR="00193D70" w:rsidRDefault="00193D70" w:rsidP="00193D70">
      <w:pPr>
        <w:pStyle w:val="ListParagraph"/>
        <w:numPr>
          <w:ilvl w:val="0"/>
          <w:numId w:val="18"/>
        </w:numPr>
        <w:bidi/>
        <w:rPr>
          <w:rFonts w:ascii="Tahoma" w:eastAsia="Tahoma" w:hAnsi="Tahoma" w:cs="Tahoma"/>
          <w:i/>
          <w:iCs/>
          <w:sz w:val="22"/>
          <w:szCs w:val="22"/>
        </w:rPr>
      </w:pP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>ما مدى تنافسية أسواق الهواتف الخل</w:t>
      </w:r>
      <w:r w:rsidR="00A72730">
        <w:rPr>
          <w:rFonts w:ascii="Tahoma" w:eastAsia="Tahoma" w:hAnsi="Tahoma" w:cs="Tahoma" w:hint="cs"/>
          <w:i/>
          <w:iCs/>
          <w:sz w:val="22"/>
          <w:szCs w:val="22"/>
          <w:rtl/>
        </w:rPr>
        <w:t>ي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 xml:space="preserve">وية في منطقة الشرق الأوسط وشمال أفريقيا من حيث حصص السوق وعدد </w:t>
      </w:r>
      <w:r w:rsidR="00A72730">
        <w:rPr>
          <w:rFonts w:ascii="Tahoma" w:eastAsia="Tahoma" w:hAnsi="Tahoma" w:cs="Tahoma" w:hint="cs"/>
          <w:i/>
          <w:iCs/>
          <w:sz w:val="22"/>
          <w:szCs w:val="22"/>
          <w:rtl/>
        </w:rPr>
        <w:t>المشغليين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>؟</w:t>
      </w:r>
    </w:p>
    <w:p w14:paraId="1D0AFFC1" w14:textId="7B77AD20" w:rsidR="00193D70" w:rsidRDefault="00193D70" w:rsidP="00193D70">
      <w:pPr>
        <w:pStyle w:val="ListParagraph"/>
        <w:numPr>
          <w:ilvl w:val="0"/>
          <w:numId w:val="18"/>
        </w:numPr>
        <w:bidi/>
        <w:rPr>
          <w:rFonts w:ascii="Tahoma" w:eastAsia="Tahoma" w:hAnsi="Tahoma" w:cs="Tahoma"/>
          <w:i/>
          <w:iCs/>
          <w:sz w:val="22"/>
          <w:szCs w:val="22"/>
        </w:rPr>
      </w:pP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 xml:space="preserve">ما هي دول منطقة الشرق الأوسط وشمال أفريقيا </w:t>
      </w:r>
      <w:r w:rsidR="003770BC">
        <w:rPr>
          <w:rFonts w:ascii="Tahoma" w:eastAsia="Tahoma" w:hAnsi="Tahoma" w:cs="Tahoma" w:hint="cs"/>
          <w:i/>
          <w:iCs/>
          <w:sz w:val="22"/>
          <w:szCs w:val="22"/>
          <w:rtl/>
        </w:rPr>
        <w:t>الأعلى انتشاراً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 xml:space="preserve"> </w:t>
      </w:r>
      <w:r w:rsidR="003770BC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للهواتف الخليوية 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>في عامي 2022 والربع الثاني من عام 2023؟</w:t>
      </w:r>
    </w:p>
    <w:p w14:paraId="02B8FEA2" w14:textId="6691A3BE" w:rsidR="00193D70" w:rsidRDefault="00193D70" w:rsidP="00193D70">
      <w:pPr>
        <w:pStyle w:val="ListParagraph"/>
        <w:numPr>
          <w:ilvl w:val="0"/>
          <w:numId w:val="18"/>
        </w:numPr>
        <w:bidi/>
        <w:rPr>
          <w:rFonts w:ascii="Tahoma" w:eastAsia="Tahoma" w:hAnsi="Tahoma" w:cs="Tahoma"/>
          <w:i/>
          <w:iCs/>
          <w:sz w:val="22"/>
          <w:szCs w:val="22"/>
        </w:rPr>
      </w:pP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 xml:space="preserve">ما هو مزيج الدفع المسبق والدفع الآجل بين مشغلي 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>الهواتف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 xml:space="preserve"> الخل</w:t>
      </w:r>
      <w:r w:rsidR="00A72730">
        <w:rPr>
          <w:rFonts w:ascii="Tahoma" w:eastAsia="Tahoma" w:hAnsi="Tahoma" w:cs="Tahoma" w:hint="cs"/>
          <w:i/>
          <w:iCs/>
          <w:sz w:val="22"/>
          <w:szCs w:val="22"/>
          <w:rtl/>
        </w:rPr>
        <w:t>ي</w:t>
      </w:r>
      <w:r w:rsidRPr="00193D70">
        <w:rPr>
          <w:rFonts w:ascii="Tahoma" w:eastAsia="Tahoma" w:hAnsi="Tahoma" w:cs="Tahoma"/>
          <w:i/>
          <w:iCs/>
          <w:sz w:val="22"/>
          <w:szCs w:val="22"/>
          <w:rtl/>
        </w:rPr>
        <w:t>وية في المنطقة خلال عامي 2022 والربع الثاني من عام 2023؟</w:t>
      </w:r>
    </w:p>
    <w:p w14:paraId="7D2692C4" w14:textId="6DE962CC" w:rsidR="000930D9" w:rsidRDefault="003770BC" w:rsidP="000930D9">
      <w:pPr>
        <w:pStyle w:val="ListParagraph"/>
        <w:numPr>
          <w:ilvl w:val="0"/>
          <w:numId w:val="18"/>
        </w:numPr>
        <w:bidi/>
        <w:rPr>
          <w:rFonts w:ascii="Tahoma" w:eastAsia="Tahoma" w:hAnsi="Tahoma" w:cs="Tahoma"/>
          <w:i/>
          <w:iCs/>
          <w:sz w:val="22"/>
          <w:szCs w:val="22"/>
        </w:rPr>
      </w:pP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ما هو عدد المشتركين ومعدلات النمو لكل مشغل </w:t>
      </w:r>
      <w:r w:rsidR="000930D9" w:rsidRPr="000930D9">
        <w:rPr>
          <w:rFonts w:ascii="Tahoma" w:eastAsia="Tahoma" w:hAnsi="Tahoma" w:cs="Tahoma"/>
          <w:i/>
          <w:iCs/>
          <w:sz w:val="22"/>
          <w:szCs w:val="22"/>
          <w:rtl/>
        </w:rPr>
        <w:t xml:space="preserve">خلال عامي 2022 والربع الثاني من عام 2023 في 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>ال</w:t>
      </w:r>
      <w:r w:rsidR="000930D9" w:rsidRPr="000930D9">
        <w:rPr>
          <w:rFonts w:ascii="Tahoma" w:eastAsia="Tahoma" w:hAnsi="Tahoma" w:cs="Tahoma"/>
          <w:i/>
          <w:iCs/>
          <w:sz w:val="22"/>
          <w:szCs w:val="22"/>
          <w:rtl/>
        </w:rPr>
        <w:t>منطقة؟</w:t>
      </w:r>
    </w:p>
    <w:p w14:paraId="3F309DD8" w14:textId="1EBBB581" w:rsidR="000930D9" w:rsidRPr="00193D70" w:rsidRDefault="000930D9" w:rsidP="000930D9">
      <w:pPr>
        <w:pStyle w:val="ListParagraph"/>
        <w:numPr>
          <w:ilvl w:val="0"/>
          <w:numId w:val="18"/>
        </w:numPr>
        <w:bidi/>
        <w:rPr>
          <w:rFonts w:ascii="Tahoma" w:eastAsia="Tahoma" w:hAnsi="Tahoma" w:cs="Tahoma"/>
          <w:i/>
          <w:iCs/>
          <w:sz w:val="22"/>
          <w:szCs w:val="22"/>
          <w:rtl/>
        </w:rPr>
      </w:pPr>
      <w:r w:rsidRPr="000930D9">
        <w:rPr>
          <w:rFonts w:ascii="Tahoma" w:eastAsia="Tahoma" w:hAnsi="Tahoma" w:cs="Tahoma"/>
          <w:i/>
          <w:iCs/>
          <w:sz w:val="22"/>
          <w:szCs w:val="22"/>
          <w:rtl/>
        </w:rPr>
        <w:t xml:space="preserve">كيف كان </w:t>
      </w:r>
      <w:r w:rsidR="003770BC">
        <w:rPr>
          <w:rFonts w:ascii="Tahoma" w:eastAsia="Tahoma" w:hAnsi="Tahoma" w:cs="Tahoma" w:hint="cs"/>
          <w:i/>
          <w:iCs/>
          <w:sz w:val="22"/>
          <w:szCs w:val="22"/>
          <w:rtl/>
        </w:rPr>
        <w:t>ال</w:t>
      </w:r>
      <w:r w:rsidRPr="000930D9">
        <w:rPr>
          <w:rFonts w:ascii="Tahoma" w:eastAsia="Tahoma" w:hAnsi="Tahoma" w:cs="Tahoma"/>
          <w:i/>
          <w:iCs/>
          <w:sz w:val="22"/>
          <w:szCs w:val="22"/>
          <w:rtl/>
        </w:rPr>
        <w:t xml:space="preserve">أداء </w:t>
      </w:r>
      <w:r w:rsidR="003770BC">
        <w:rPr>
          <w:rFonts w:ascii="Tahoma" w:eastAsia="Tahoma" w:hAnsi="Tahoma" w:cs="Tahoma" w:hint="cs"/>
          <w:i/>
          <w:iCs/>
          <w:sz w:val="22"/>
          <w:szCs w:val="22"/>
          <w:rtl/>
        </w:rPr>
        <w:t>المالي التفصيلي ل</w:t>
      </w:r>
      <w:r w:rsidRPr="000930D9">
        <w:rPr>
          <w:rFonts w:ascii="Tahoma" w:eastAsia="Tahoma" w:hAnsi="Tahoma" w:cs="Tahoma"/>
          <w:i/>
          <w:iCs/>
          <w:sz w:val="22"/>
          <w:szCs w:val="22"/>
          <w:rtl/>
        </w:rPr>
        <w:t>مشغلي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الهواتف الخليوية</w:t>
      </w:r>
      <w:r w:rsidRPr="000930D9">
        <w:rPr>
          <w:rFonts w:ascii="Tahoma" w:eastAsia="Tahoma" w:hAnsi="Tahoma" w:cs="Tahoma"/>
          <w:i/>
          <w:iCs/>
          <w:sz w:val="22"/>
          <w:szCs w:val="22"/>
          <w:rtl/>
        </w:rPr>
        <w:t xml:space="preserve"> ومجموعات خلال النصف الأول من عام 2023 و</w:t>
      </w:r>
      <w:r w:rsidR="00A72730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عام </w:t>
      </w:r>
      <w:r w:rsidRPr="000930D9">
        <w:rPr>
          <w:rFonts w:ascii="Tahoma" w:eastAsia="Tahoma" w:hAnsi="Tahoma" w:cs="Tahoma"/>
          <w:i/>
          <w:iCs/>
          <w:sz w:val="22"/>
          <w:szCs w:val="22"/>
          <w:rtl/>
        </w:rPr>
        <w:t>2022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>؟</w:t>
      </w:r>
    </w:p>
    <w:p w14:paraId="1440E456" w14:textId="059898BE" w:rsidR="00A72730" w:rsidRPr="00A72730" w:rsidRDefault="00A72730">
      <w:pPr>
        <w:rPr>
          <w:rFonts w:ascii="Tahoma" w:eastAsia="Tahoma" w:hAnsi="Tahoma" w:cs="Tahoma"/>
          <w:sz w:val="22"/>
          <w:szCs w:val="22"/>
          <w:rtl/>
        </w:rPr>
      </w:pPr>
    </w:p>
    <w:p w14:paraId="3B7A7A27" w14:textId="4E5CE0E6" w:rsidR="00BF288A" w:rsidRDefault="003770BC" w:rsidP="004D0B25">
      <w:pPr>
        <w:pStyle w:val="ArabAdvisorsReportText"/>
        <w:bidi/>
        <w:rPr>
          <w:rFonts w:ascii="Tahoma" w:eastAsia="Tahoma" w:hAnsi="Tahoma" w:cs="Tahoma"/>
          <w:rtl/>
        </w:rPr>
      </w:pPr>
      <w:r>
        <w:rPr>
          <w:rFonts w:ascii="Tahoma" w:eastAsia="Tahoma" w:hAnsi="Tahoma" w:cs="Tahoma" w:hint="cs"/>
          <w:rtl/>
        </w:rPr>
        <w:t xml:space="preserve">صرحت هبة ربضي، </w:t>
      </w:r>
      <w:r w:rsidRPr="00A72730">
        <w:rPr>
          <w:rFonts w:ascii="Tahoma" w:eastAsia="Tahoma" w:hAnsi="Tahoma" w:cs="Tahoma"/>
          <w:rtl/>
        </w:rPr>
        <w:t xml:space="preserve">نائب المدير العام لمجموعة </w:t>
      </w:r>
      <w:r w:rsidRPr="00A72730">
        <w:rPr>
          <w:rFonts w:ascii="Tahoma" w:eastAsia="Tahoma" w:hAnsi="Tahoma" w:cs="Tahoma" w:hint="cs"/>
          <w:rtl/>
        </w:rPr>
        <w:t>المرشدين</w:t>
      </w:r>
      <w:r w:rsidRPr="00A72730">
        <w:rPr>
          <w:rFonts w:ascii="Tahoma" w:eastAsia="Tahoma" w:hAnsi="Tahoma" w:cs="Tahoma"/>
          <w:rtl/>
        </w:rPr>
        <w:t xml:space="preserve"> العرب</w:t>
      </w:r>
      <w:r>
        <w:rPr>
          <w:rFonts w:ascii="Tahoma" w:eastAsia="Tahoma" w:hAnsi="Tahoma" w:cs="Tahoma" w:hint="cs"/>
          <w:rtl/>
        </w:rPr>
        <w:t xml:space="preserve"> </w:t>
      </w:r>
      <w:r w:rsidR="002358DA" w:rsidRPr="00A72730">
        <w:rPr>
          <w:rFonts w:ascii="Tahoma" w:eastAsia="Tahoma" w:hAnsi="Tahoma" w:cs="Tahoma"/>
          <w:rtl/>
        </w:rPr>
        <w:t>"</w:t>
      </w:r>
      <w:r>
        <w:rPr>
          <w:rFonts w:ascii="Tahoma" w:eastAsia="Tahoma" w:hAnsi="Tahoma" w:cs="Tahoma" w:hint="cs"/>
          <w:rtl/>
        </w:rPr>
        <w:t>يوفر هذا التقرير الأساس التحليلي لتقييم ومقارنة الآستثمارات المختلفة في سوق الهواتف الخليوية في المنطقة</w:t>
      </w:r>
      <w:r w:rsidR="002358DA" w:rsidRPr="00A72730">
        <w:rPr>
          <w:rFonts w:ascii="Tahoma" w:eastAsia="Tahoma" w:hAnsi="Tahoma" w:cs="Tahoma"/>
          <w:rtl/>
        </w:rPr>
        <w:t>.</w:t>
      </w:r>
      <w:r>
        <w:rPr>
          <w:rFonts w:ascii="Tahoma" w:eastAsia="Tahoma" w:hAnsi="Tahoma" w:cs="Tahoma" w:hint="cs"/>
          <w:rtl/>
        </w:rPr>
        <w:t xml:space="preserve"> ويأتي هذا التقرير ضمن سلسلة المجموعة في هذا المجال للسنة الثالثة والعشرين على التوالي. وتتميز مجموعة </w:t>
      </w:r>
      <w:r w:rsidR="00E63666" w:rsidRPr="00E63666">
        <w:rPr>
          <w:rFonts w:ascii="Tahoma" w:eastAsia="Tahoma" w:hAnsi="Tahoma" w:cs="Tahoma"/>
          <w:rtl/>
        </w:rPr>
        <w:t xml:space="preserve">المرشدين العرب </w:t>
      </w:r>
      <w:r>
        <w:rPr>
          <w:rFonts w:ascii="Tahoma" w:eastAsia="Tahoma" w:hAnsi="Tahoma" w:cs="Tahoma" w:hint="cs"/>
          <w:rtl/>
        </w:rPr>
        <w:t>بكونها الجهة الوحيدة التي تابعت الاسواق في المنطقة لكل هذه الفترة."</w:t>
      </w:r>
      <w:r w:rsidR="004D0B25" w:rsidRPr="00175B6D">
        <w:rPr>
          <w:rFonts w:ascii="Tahoma" w:eastAsia="Tahoma" w:hAnsi="Tahoma" w:cs="Tahoma" w:hint="cs"/>
          <w:rtl/>
        </w:rPr>
        <w:t xml:space="preserve"> </w:t>
      </w:r>
    </w:p>
    <w:p w14:paraId="0C750301" w14:textId="0000F4D0" w:rsidR="001C02D5" w:rsidRPr="00175B6D" w:rsidRDefault="001C02D5" w:rsidP="001C02D5">
      <w:pPr>
        <w:pStyle w:val="ArabAdvisorsReportText"/>
        <w:bidi/>
        <w:rPr>
          <w:rFonts w:ascii="Tahoma" w:eastAsia="Tahoma" w:hAnsi="Tahoma" w:cs="Tahoma"/>
          <w:rtl/>
        </w:rPr>
      </w:pPr>
    </w:p>
    <w:p w14:paraId="51531CC9" w14:textId="4A28610D" w:rsidR="00EB2858" w:rsidRDefault="00EB2858" w:rsidP="00EB2858">
      <w:pPr>
        <w:bidi/>
        <w:rPr>
          <w:rFonts w:ascii="Tahoma" w:eastAsia="Tahoma" w:hAnsi="Tahoma" w:cs="Tahoma"/>
          <w:rtl/>
        </w:rPr>
      </w:pPr>
    </w:p>
    <w:p w14:paraId="0A201A20" w14:textId="77777777" w:rsidR="00E63666" w:rsidRDefault="00E63666" w:rsidP="00E63666">
      <w:pPr>
        <w:bidi/>
        <w:rPr>
          <w:rFonts w:ascii="Tahoma" w:eastAsia="Tahoma" w:hAnsi="Tahoma" w:cs="Tahoma"/>
        </w:rPr>
      </w:pPr>
    </w:p>
    <w:p w14:paraId="6FC2D32F" w14:textId="2EC4DCB0" w:rsidR="009E548D" w:rsidRPr="00B51A63" w:rsidRDefault="00876B21" w:rsidP="00EB2858">
      <w:pPr>
        <w:bidi/>
        <w:rPr>
          <w:rFonts w:ascii="Tahoma" w:hAnsi="Tahoma" w:cs="Tahoma"/>
          <w:b/>
          <w:bCs/>
          <w:rtl/>
        </w:rPr>
      </w:pPr>
      <w:r w:rsidRPr="00B51A63">
        <w:rPr>
          <w:rFonts w:ascii="Tahoma" w:hAnsi="Tahoma" w:cs="Tahoma"/>
          <w:b/>
          <w:bCs/>
          <w:rtl/>
        </w:rPr>
        <w:lastRenderedPageBreak/>
        <w:t xml:space="preserve">يرجى الاتصال بمجموعة </w:t>
      </w:r>
      <w:bookmarkStart w:id="1" w:name="_Hlk157588896"/>
      <w:r w:rsidRPr="00B51A63">
        <w:rPr>
          <w:rFonts w:ascii="Tahoma" w:hAnsi="Tahoma" w:cs="Tahoma"/>
          <w:b/>
          <w:bCs/>
          <w:rtl/>
        </w:rPr>
        <w:t xml:space="preserve">المرشدين العرب </w:t>
      </w:r>
      <w:bookmarkEnd w:id="1"/>
      <w:r w:rsidRPr="00B51A63">
        <w:rPr>
          <w:rFonts w:ascii="Tahoma" w:hAnsi="Tahoma" w:cs="Tahoma"/>
          <w:b/>
          <w:bCs/>
          <w:rtl/>
        </w:rPr>
        <w:t>(</w:t>
      </w:r>
      <w:r w:rsidRPr="00B51A63">
        <w:rPr>
          <w:rFonts w:ascii="Verdana" w:hAnsi="Verdana" w:cs="Tahoma"/>
          <w:b/>
          <w:bCs/>
        </w:rPr>
        <w:t>Arab Advisors Group</w:t>
      </w:r>
      <w:r w:rsidRPr="00B51A63">
        <w:rPr>
          <w:rFonts w:ascii="Tahoma" w:hAnsi="Tahoma" w:cs="Tahoma"/>
          <w:b/>
          <w:bCs/>
          <w:rtl/>
        </w:rPr>
        <w:t xml:space="preserve">) للحصول </w:t>
      </w:r>
    </w:p>
    <w:p w14:paraId="6B4A9BC9" w14:textId="684F94A0" w:rsidR="009E548D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B51A63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B51A6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 xml:space="preserve">يمكن شراء التقارير من مجموعة المرشدين العرب مقابل </w:t>
      </w:r>
      <w:r w:rsidR="00BF288A">
        <w:rPr>
          <w:rFonts w:ascii="Tahoma" w:hAnsi="Tahoma" w:cs="Tahoma" w:hint="cs"/>
          <w:b/>
          <w:bCs/>
          <w:sz w:val="20"/>
          <w:szCs w:val="20"/>
          <w:rtl/>
        </w:rPr>
        <w:t>5000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 xml:space="preserve"> دولار امريكي</w:t>
      </w:r>
      <w:r w:rsidR="00E63666">
        <w:rPr>
          <w:rFonts w:ascii="Tahoma" w:hAnsi="Tahoma" w:cs="Tahoma" w:hint="cs"/>
          <w:b/>
          <w:bCs/>
          <w:sz w:val="20"/>
          <w:szCs w:val="20"/>
          <w:rtl/>
        </w:rPr>
        <w:t xml:space="preserve"> لكل تقرير</w:t>
      </w:r>
      <w:r w:rsidR="00A619A5" w:rsidRPr="00B51A63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2CF8492A" w14:textId="77777777" w:rsidR="00A619A5" w:rsidRPr="00817A71" w:rsidRDefault="00A619A5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</w:p>
    <w:p w14:paraId="4959ED98" w14:textId="2FCCDF74" w:rsidR="00AF0B93" w:rsidRPr="007A5E5E" w:rsidRDefault="00AF0B93" w:rsidP="00A6518B">
      <w:pPr>
        <w:pStyle w:val="NormalWeb"/>
        <w:bidi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rtl/>
        </w:rPr>
      </w:pPr>
      <w:r w:rsidRPr="007A5E5E">
        <w:rPr>
          <w:rFonts w:ascii="Tahoma" w:hAnsi="Tahoma" w:cs="Tahoma"/>
          <w:sz w:val="20"/>
          <w:szCs w:val="20"/>
          <w:rtl/>
        </w:rPr>
        <w:t xml:space="preserve">قام فريق المحللين في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 (</w:t>
      </w:r>
      <w:r w:rsidRPr="007A5E5E">
        <w:rPr>
          <w:rFonts w:ascii="Tahoma" w:hAnsi="Tahoma" w:cs="Tahoma"/>
          <w:sz w:val="20"/>
          <w:szCs w:val="20"/>
        </w:rPr>
        <w:t>Arab Advisors Group</w:t>
      </w:r>
      <w:r w:rsidRPr="007A5E5E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5,</w:t>
      </w:r>
      <w:r w:rsidR="00B43D06">
        <w:rPr>
          <w:rFonts w:ascii="Tahoma" w:hAnsi="Tahoma" w:cs="Tahoma" w:hint="cs"/>
          <w:b/>
          <w:bCs/>
          <w:sz w:val="20"/>
          <w:szCs w:val="20"/>
          <w:rtl/>
        </w:rPr>
        <w:t>8</w:t>
      </w:r>
      <w:r w:rsidR="009E548D" w:rsidRPr="007A5E5E">
        <w:rPr>
          <w:rFonts w:ascii="Tahoma" w:hAnsi="Tahoma" w:cs="Tahoma"/>
          <w:b/>
          <w:bCs/>
          <w:sz w:val="20"/>
          <w:szCs w:val="20"/>
          <w:rtl/>
        </w:rPr>
        <w:t>00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تغطي</w:t>
      </w:r>
      <w:r w:rsidRPr="007A5E5E">
        <w:rPr>
          <w:rFonts w:ascii="Tahoma" w:hAnsi="Tahoma" w:cs="Tahoma"/>
          <w:sz w:val="20"/>
          <w:szCs w:val="20"/>
          <w:rtl/>
        </w:rPr>
        <w:t xml:space="preserve"> قطاعات الاتصالات وال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إ</w:t>
      </w:r>
      <w:r w:rsidRPr="007A5E5E">
        <w:rPr>
          <w:rFonts w:ascii="Tahoma" w:hAnsi="Tahoma" w:cs="Tahoma"/>
          <w:sz w:val="20"/>
          <w:szCs w:val="20"/>
          <w:rtl/>
        </w:rPr>
        <w:t xml:space="preserve">علام العربية، يمكن شراء هذه التقارير بطريقة فردية، أو عن طريق الاشتراك السنوي مع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</w:t>
      </w:r>
      <w:r w:rsidR="002A15DC"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(</w:t>
      </w:r>
      <w:hyperlink r:id="rId12" w:history="1">
        <w:r w:rsidRPr="007A5E5E">
          <w:rPr>
            <w:rStyle w:val="Hyperlink"/>
            <w:rFonts w:ascii="Tahoma" w:hAnsi="Tahoma" w:cs="Tahoma"/>
            <w:sz w:val="20"/>
            <w:szCs w:val="20"/>
          </w:rPr>
          <w:t>www.arabadvisors.com</w:t>
        </w:r>
      </w:hyperlink>
      <w:r w:rsidRPr="007A5E5E">
        <w:rPr>
          <w:rFonts w:ascii="Tahoma" w:hAnsi="Tahoma" w:cs="Tahoma"/>
          <w:sz w:val="20"/>
          <w:szCs w:val="20"/>
          <w:rtl/>
        </w:rPr>
        <w:t>)</w:t>
      </w:r>
      <w:r w:rsidR="002A15DC" w:rsidRPr="007A5E5E">
        <w:rPr>
          <w:rFonts w:ascii="Tahoma" w:hAnsi="Tahoma" w:cs="Tahoma"/>
          <w:sz w:val="20"/>
          <w:szCs w:val="20"/>
          <w:rtl/>
        </w:rPr>
        <w:t>.</w:t>
      </w:r>
    </w:p>
    <w:p w14:paraId="19FCBC02" w14:textId="77777777" w:rsidR="003F0058" w:rsidRPr="007A5E5E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rtl/>
        </w:rPr>
      </w:pPr>
    </w:p>
    <w:p w14:paraId="0FC55FC3" w14:textId="19CA47BD" w:rsidR="00C75ECA" w:rsidRPr="007A5E5E" w:rsidRDefault="003F0058" w:rsidP="005C1AE8">
      <w:pPr>
        <w:pStyle w:val="ArabAdvisorsReportText"/>
        <w:bidi/>
        <w:rPr>
          <w:sz w:val="20"/>
          <w:szCs w:val="20"/>
        </w:rPr>
      </w:pPr>
      <w:r w:rsidRPr="007A5E5E">
        <w:rPr>
          <w:rFonts w:ascii="Tahoma" w:hAnsi="Tahoma" w:cs="Tahoma"/>
          <w:sz w:val="20"/>
          <w:szCs w:val="20"/>
          <w:rtl/>
        </w:rPr>
        <w:t>تفخر شركة المرشدين العرب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cs="Tahoma"/>
        </w:rPr>
        <w:t>(</w:t>
      </w:r>
      <w:r w:rsidRPr="007A5E5E">
        <w:rPr>
          <w:rFonts w:cs="Tahoma"/>
          <w:sz w:val="20"/>
          <w:szCs w:val="20"/>
          <w:lang w:bidi="ar-JO"/>
        </w:rPr>
        <w:t>Arab Advisors Group</w:t>
      </w:r>
      <w:r w:rsidRPr="007A5E5E">
        <w:rPr>
          <w:rFonts w:ascii="Tahoma" w:hAnsi="Tahoma" w:cs="Tahoma"/>
        </w:rPr>
        <w:t>)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بخدمة أكثر من</w:t>
      </w:r>
      <w:r w:rsidRPr="007A5E5E">
        <w:rPr>
          <w:rFonts w:ascii="Tahoma" w:hAnsi="Tahoma" w:cs="Tahoma"/>
          <w:rtl/>
        </w:rPr>
        <w:t xml:space="preserve"> </w:t>
      </w:r>
      <w:r w:rsidR="009E548D" w:rsidRPr="007A5E5E">
        <w:rPr>
          <w:rFonts w:cs="Tahoma"/>
          <w:b/>
          <w:bCs/>
          <w:sz w:val="20"/>
          <w:szCs w:val="20"/>
          <w:rtl/>
        </w:rPr>
        <w:t>9</w:t>
      </w:r>
      <w:r w:rsidR="00B43D06">
        <w:rPr>
          <w:rFonts w:cs="Tahoma" w:hint="cs"/>
          <w:b/>
          <w:bCs/>
          <w:sz w:val="20"/>
          <w:szCs w:val="20"/>
          <w:rtl/>
        </w:rPr>
        <w:t>6</w:t>
      </w:r>
      <w:r w:rsidR="009E548D" w:rsidRPr="007A5E5E">
        <w:rPr>
          <w:rFonts w:cs="Tahoma"/>
          <w:b/>
          <w:bCs/>
          <w:sz w:val="20"/>
          <w:szCs w:val="20"/>
          <w:rtl/>
        </w:rPr>
        <w:t>5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7A5E5E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291AEB" w:rsidR="003F0058" w:rsidRPr="00817A71" w:rsidRDefault="0050592A" w:rsidP="0026526F">
      <w:pPr>
        <w:tabs>
          <w:tab w:val="left" w:pos="2268"/>
        </w:tabs>
        <w:bidi/>
        <w:rPr>
          <w:rFonts w:ascii="Verdana" w:eastAsia="MS Mincho" w:hAnsi="Verdana" w:cs="Arabic Transparent"/>
          <w:b/>
          <w:bCs/>
          <w:sz w:val="24"/>
          <w:szCs w:val="18"/>
        </w:rPr>
      </w:pPr>
      <w:hyperlink r:id="rId13" w:history="1">
        <w:r w:rsidR="0026526F" w:rsidRPr="007A5E5E">
          <w:rPr>
            <w:rStyle w:val="Hyperlink"/>
            <w:rFonts w:ascii="Verdana" w:hAnsi="Verdana" w:cs="Tahoma"/>
          </w:rPr>
          <w:t>https://arabadvisors.com/client-list</w:t>
        </w:r>
      </w:hyperlink>
      <w:r w:rsidR="0026526F" w:rsidRPr="007A5E5E">
        <w:rPr>
          <w:rFonts w:ascii="Tahoma" w:hAnsi="Tahoma" w:cs="Tahoma"/>
        </w:rPr>
        <w:t xml:space="preserve"> </w:t>
      </w:r>
    </w:p>
    <w:p w14:paraId="2D95BB2B" w14:textId="0EFD0086" w:rsidR="003F0058" w:rsidRDefault="003F0058" w:rsidP="003F0058">
      <w:pPr>
        <w:tabs>
          <w:tab w:val="left" w:pos="2268"/>
        </w:tabs>
        <w:jc w:val="lowKashida"/>
        <w:rPr>
          <w:sz w:val="22"/>
          <w:szCs w:val="22"/>
          <w:lang w:bidi="ar-JO"/>
        </w:rPr>
      </w:pPr>
    </w:p>
    <w:p w14:paraId="1B09C190" w14:textId="77777777" w:rsidR="00517E28" w:rsidRPr="00817A71" w:rsidRDefault="00517E28" w:rsidP="003F0058">
      <w:pPr>
        <w:tabs>
          <w:tab w:val="left" w:pos="2268"/>
        </w:tabs>
        <w:jc w:val="lowKashida"/>
        <w:rPr>
          <w:sz w:val="22"/>
          <w:szCs w:val="22"/>
          <w:rtl/>
          <w:lang w:bidi="ar-JO"/>
        </w:rPr>
      </w:pPr>
    </w:p>
    <w:p w14:paraId="643A1D89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  <w:r w:rsidRPr="00817A71">
        <w:rPr>
          <w:rFonts w:ascii="Verdana" w:hAnsi="Verdana" w:cs="Arabic Transparent"/>
          <w:b/>
          <w:bCs/>
          <w:szCs w:val="22"/>
        </w:rPr>
        <w:t>-END-</w:t>
      </w:r>
    </w:p>
    <w:p w14:paraId="248C0476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</w:p>
    <w:p w14:paraId="072DA1A4" w14:textId="52598357" w:rsidR="003F0058" w:rsidRPr="009B1A6A" w:rsidRDefault="003F0058" w:rsidP="003F0058">
      <w:pPr>
        <w:rPr>
          <w:rFonts w:ascii="Verdana" w:hAnsi="Verdana" w:cs="Arabic Transparent"/>
          <w:lang w:bidi="ar-JO"/>
        </w:rPr>
      </w:pPr>
    </w:p>
    <w:p w14:paraId="7C9EC699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lang w:bidi="ar-JO"/>
        </w:rPr>
        <w:t xml:space="preserve">Arab Advisors Group’s Arabic name is </w:t>
      </w:r>
      <w:r w:rsidRPr="009B1A6A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9B1A6A">
        <w:rPr>
          <w:rFonts w:ascii="Verdana" w:hAnsi="Verdana" w:cs="Arabic Transparent"/>
          <w:b/>
          <w:bCs/>
          <w:i/>
          <w:iCs/>
        </w:rPr>
        <w:t xml:space="preserve"> </w:t>
      </w:r>
    </w:p>
    <w:p w14:paraId="7235DA5C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9B1A6A" w:rsidRDefault="003F0058" w:rsidP="003F0058">
      <w:pPr>
        <w:rPr>
          <w:rFonts w:ascii="Verdana" w:eastAsia="MS Mincho" w:hAnsi="Verdana" w:cs="Arabic Transparent"/>
          <w:bCs/>
          <w:color w:val="000000"/>
          <w:u w:val="single"/>
        </w:rPr>
      </w:pP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</w:p>
    <w:p w14:paraId="7E1EA6D7" w14:textId="77777777" w:rsidR="003F0058" w:rsidRPr="009B1A6A" w:rsidRDefault="003F0058" w:rsidP="003F0058">
      <w:pPr>
        <w:rPr>
          <w:rFonts w:ascii="Verdana" w:eastAsia="MS Mincho" w:hAnsi="Verdana" w:cs="Wingdings"/>
          <w:bCs/>
        </w:rPr>
      </w:pPr>
      <w:r w:rsidRPr="009B1A6A">
        <w:rPr>
          <w:rFonts w:ascii="Verdana" w:eastAsia="MS Mincho" w:hAnsi="Verdana" w:cs="Wingdings"/>
          <w:b/>
        </w:rPr>
        <w:t xml:space="preserve">Arab Advisors Group </w:t>
      </w:r>
      <w:r w:rsidRPr="009B1A6A">
        <w:rPr>
          <w:rFonts w:ascii="Verdana" w:eastAsia="MS Mincho" w:hAnsi="Verdana" w:cs="Wingdings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9B1A6A" w:rsidRDefault="003F0058" w:rsidP="003F0058">
      <w:pPr>
        <w:rPr>
          <w:rFonts w:ascii="Verdana" w:eastAsia="MS Mincho" w:hAnsi="Verdana" w:cs="Wingdings"/>
          <w:bCs/>
          <w:color w:val="000000"/>
        </w:rPr>
      </w:pPr>
    </w:p>
    <w:p w14:paraId="2FB10AD4" w14:textId="77777777" w:rsidR="003F0058" w:rsidRPr="009B1A6A" w:rsidRDefault="003F0058" w:rsidP="003F0058">
      <w:pPr>
        <w:rPr>
          <w:rFonts w:ascii="Verdana" w:hAnsi="Verdana" w:cs="Wingdings"/>
        </w:rPr>
      </w:pPr>
      <w:r w:rsidRPr="009B1A6A">
        <w:rPr>
          <w:rFonts w:ascii="Verdana" w:hAnsi="Verdana" w:cs="Wingdings"/>
        </w:rPr>
        <w:t xml:space="preserve">Arab Advisors Group Strategic Research Services (Media and Telecoms) are annual subscriptions. The services cover </w:t>
      </w:r>
      <w:r w:rsidRPr="009B1A6A">
        <w:rPr>
          <w:rFonts w:ascii="Verdana" w:hAnsi="Verdana" w:cs="Wingdings"/>
          <w:b/>
          <w:bCs/>
        </w:rPr>
        <w:t xml:space="preserve">nineteen </w:t>
      </w:r>
      <w:r w:rsidRPr="009B1A6A">
        <w:rPr>
          <w:rFonts w:ascii="Verdana" w:hAnsi="Verdana" w:cs="Wingdings"/>
        </w:rPr>
        <w:t xml:space="preserve">countries in the Arab World: </w:t>
      </w:r>
      <w:r w:rsidRPr="009B1A6A">
        <w:rPr>
          <w:rFonts w:ascii="Verdana" w:hAnsi="Verdana" w:cs="Wingdings"/>
          <w:b/>
          <w:bCs/>
        </w:rPr>
        <w:t xml:space="preserve">Lebanon, Syria, Jordan, Palestine, Iraq, Egypt, Sudan, Saudi Arabia, Yemen, UAE, Kuwait, Qatar, Bahrain, Oman, Libya, Tunisia, Algeria, Mauritania and Morocco. </w:t>
      </w:r>
    </w:p>
    <w:p w14:paraId="35F922E2" w14:textId="77777777" w:rsidR="003F0058" w:rsidRPr="009B1A6A" w:rsidRDefault="003F0058" w:rsidP="003F0058">
      <w:pPr>
        <w:rPr>
          <w:rFonts w:ascii="Verdana" w:eastAsia="MS Mincho" w:hAnsi="Verdana" w:cs="Arabic Transparent"/>
          <w:b/>
          <w:color w:val="000000"/>
        </w:rPr>
      </w:pPr>
    </w:p>
    <w:p w14:paraId="31BC16F6" w14:textId="77777777" w:rsidR="003F0058" w:rsidRPr="009B1A6A" w:rsidRDefault="003F0058" w:rsidP="003F0058">
      <w:pPr>
        <w:rPr>
          <w:rFonts w:ascii="Verdana" w:eastAsia="MS Mincho" w:hAnsi="Verdana" w:cs="Arabic Transparent"/>
          <w:color w:val="000000"/>
        </w:rPr>
      </w:pPr>
      <w:r w:rsidRPr="009B1A6A">
        <w:rPr>
          <w:rFonts w:ascii="Verdana" w:eastAsia="MS Mincho" w:hAnsi="Verdana" w:cs="Arabic Transparent"/>
          <w:b/>
          <w:color w:val="000000"/>
        </w:rPr>
        <w:t xml:space="preserve">For more information, please contact the Arab Advisors Group offices. </w:t>
      </w:r>
      <w:hyperlink r:id="rId14" w:history="1">
        <w:r w:rsidRPr="009B1A6A">
          <w:rPr>
            <w:rFonts w:ascii="Verdana" w:eastAsia="MS Mincho" w:hAnsi="Verdana" w:cs="Arabic Transparent"/>
            <w:b/>
            <w:color w:val="0000FF"/>
            <w:u w:val="single"/>
          </w:rPr>
          <w:t>www.arabadvisors.com</w:t>
        </w:r>
      </w:hyperlink>
      <w:r w:rsidRPr="009B1A6A">
        <w:rPr>
          <w:rFonts w:ascii="Verdana" w:eastAsia="MS Mincho" w:hAnsi="Verdana" w:cs="Arabic Transparent"/>
          <w:b/>
          <w:color w:val="000000"/>
        </w:rPr>
        <w:t xml:space="preserve"> </w:t>
      </w:r>
    </w:p>
    <w:p w14:paraId="17C9B390" w14:textId="77777777" w:rsidR="00167049" w:rsidRPr="00224DDB" w:rsidRDefault="00167049" w:rsidP="003F0058">
      <w:pPr>
        <w:bidi/>
        <w:rPr>
          <w:rFonts w:ascii="Verdana" w:hAnsi="Verdana"/>
          <w:sz w:val="16"/>
        </w:rPr>
      </w:pPr>
    </w:p>
    <w:sectPr w:rsidR="00167049" w:rsidRPr="00224DDB">
      <w:footerReference w:type="default" r:id="rId15"/>
      <w:pgSz w:w="11907" w:h="16840" w:code="9"/>
      <w:pgMar w:top="1264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E88E" w14:textId="77777777" w:rsidR="0050592A" w:rsidRDefault="0050592A">
      <w:r>
        <w:separator/>
      </w:r>
    </w:p>
  </w:endnote>
  <w:endnote w:type="continuationSeparator" w:id="0">
    <w:p w14:paraId="66940E22" w14:textId="77777777"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7333" w14:textId="77777777" w:rsidR="0050592A" w:rsidRDefault="0050592A">
      <w:r>
        <w:separator/>
      </w:r>
    </w:p>
  </w:footnote>
  <w:footnote w:type="continuationSeparator" w:id="0">
    <w:p w14:paraId="4E692471" w14:textId="77777777" w:rsidR="0050592A" w:rsidRDefault="0050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1C0"/>
    <w:multiLevelType w:val="hybridMultilevel"/>
    <w:tmpl w:val="AA2E2F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B5173"/>
    <w:multiLevelType w:val="hybridMultilevel"/>
    <w:tmpl w:val="404C043C"/>
    <w:lvl w:ilvl="0" w:tplc="3F0E4B2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3A6"/>
    <w:multiLevelType w:val="hybridMultilevel"/>
    <w:tmpl w:val="06A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EAE"/>
    <w:multiLevelType w:val="hybridMultilevel"/>
    <w:tmpl w:val="D0D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CA6"/>
    <w:multiLevelType w:val="hybridMultilevel"/>
    <w:tmpl w:val="A51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76CD"/>
    <w:multiLevelType w:val="hybridMultilevel"/>
    <w:tmpl w:val="E3A6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34D4"/>
    <w:rsid w:val="0000595B"/>
    <w:rsid w:val="00006CEE"/>
    <w:rsid w:val="00011148"/>
    <w:rsid w:val="00011E34"/>
    <w:rsid w:val="00012C04"/>
    <w:rsid w:val="00016A11"/>
    <w:rsid w:val="0001712A"/>
    <w:rsid w:val="00017851"/>
    <w:rsid w:val="00023504"/>
    <w:rsid w:val="00031C0E"/>
    <w:rsid w:val="0003563D"/>
    <w:rsid w:val="0003589B"/>
    <w:rsid w:val="0003591D"/>
    <w:rsid w:val="00035F3B"/>
    <w:rsid w:val="0004225A"/>
    <w:rsid w:val="00043DB0"/>
    <w:rsid w:val="00045CDA"/>
    <w:rsid w:val="000461F0"/>
    <w:rsid w:val="00050183"/>
    <w:rsid w:val="00050AF5"/>
    <w:rsid w:val="000641B5"/>
    <w:rsid w:val="00064475"/>
    <w:rsid w:val="00065053"/>
    <w:rsid w:val="00065147"/>
    <w:rsid w:val="00066023"/>
    <w:rsid w:val="000676BB"/>
    <w:rsid w:val="00071976"/>
    <w:rsid w:val="00073447"/>
    <w:rsid w:val="00077B54"/>
    <w:rsid w:val="000842F3"/>
    <w:rsid w:val="00085139"/>
    <w:rsid w:val="00085655"/>
    <w:rsid w:val="000908F5"/>
    <w:rsid w:val="000923BD"/>
    <w:rsid w:val="00092792"/>
    <w:rsid w:val="000930D9"/>
    <w:rsid w:val="000A1FB7"/>
    <w:rsid w:val="000A3A81"/>
    <w:rsid w:val="000A7371"/>
    <w:rsid w:val="000B0159"/>
    <w:rsid w:val="000B236B"/>
    <w:rsid w:val="000B31D4"/>
    <w:rsid w:val="000B4926"/>
    <w:rsid w:val="000B54D1"/>
    <w:rsid w:val="000B65E4"/>
    <w:rsid w:val="000B7310"/>
    <w:rsid w:val="000C3F7F"/>
    <w:rsid w:val="000C436C"/>
    <w:rsid w:val="000C4F40"/>
    <w:rsid w:val="000D73C9"/>
    <w:rsid w:val="000E1FDD"/>
    <w:rsid w:val="000E4D0F"/>
    <w:rsid w:val="000F1CDF"/>
    <w:rsid w:val="000F270B"/>
    <w:rsid w:val="000F2ABA"/>
    <w:rsid w:val="000F41A6"/>
    <w:rsid w:val="000F4FE3"/>
    <w:rsid w:val="000F72B1"/>
    <w:rsid w:val="000F7E57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17640"/>
    <w:rsid w:val="00122732"/>
    <w:rsid w:val="001255A5"/>
    <w:rsid w:val="00125665"/>
    <w:rsid w:val="0012589A"/>
    <w:rsid w:val="00125A49"/>
    <w:rsid w:val="001327E1"/>
    <w:rsid w:val="001335EC"/>
    <w:rsid w:val="00142B6B"/>
    <w:rsid w:val="0014585B"/>
    <w:rsid w:val="001502C4"/>
    <w:rsid w:val="0015131C"/>
    <w:rsid w:val="00153627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1991"/>
    <w:rsid w:val="00172CD0"/>
    <w:rsid w:val="001733F8"/>
    <w:rsid w:val="00174811"/>
    <w:rsid w:val="00174D11"/>
    <w:rsid w:val="00174ECE"/>
    <w:rsid w:val="00175B6D"/>
    <w:rsid w:val="0018080E"/>
    <w:rsid w:val="001830C5"/>
    <w:rsid w:val="00193D70"/>
    <w:rsid w:val="00196D28"/>
    <w:rsid w:val="001A1BEF"/>
    <w:rsid w:val="001A3FF5"/>
    <w:rsid w:val="001A5865"/>
    <w:rsid w:val="001A5E50"/>
    <w:rsid w:val="001A63D7"/>
    <w:rsid w:val="001A6ED7"/>
    <w:rsid w:val="001A768E"/>
    <w:rsid w:val="001A7963"/>
    <w:rsid w:val="001B2670"/>
    <w:rsid w:val="001B40A7"/>
    <w:rsid w:val="001C02D5"/>
    <w:rsid w:val="001C0909"/>
    <w:rsid w:val="001C3359"/>
    <w:rsid w:val="001C3EF4"/>
    <w:rsid w:val="001C4452"/>
    <w:rsid w:val="001C49D7"/>
    <w:rsid w:val="001C5938"/>
    <w:rsid w:val="001C70EF"/>
    <w:rsid w:val="001D1135"/>
    <w:rsid w:val="001D4529"/>
    <w:rsid w:val="001D6B46"/>
    <w:rsid w:val="001D7DD9"/>
    <w:rsid w:val="001E2C65"/>
    <w:rsid w:val="001E4450"/>
    <w:rsid w:val="001E69D7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58DA"/>
    <w:rsid w:val="00237E8B"/>
    <w:rsid w:val="00240C35"/>
    <w:rsid w:val="00240E90"/>
    <w:rsid w:val="0024294B"/>
    <w:rsid w:val="00242B7A"/>
    <w:rsid w:val="00242C6B"/>
    <w:rsid w:val="002431F3"/>
    <w:rsid w:val="0024339D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714D2"/>
    <w:rsid w:val="0027174C"/>
    <w:rsid w:val="00273418"/>
    <w:rsid w:val="00274A11"/>
    <w:rsid w:val="002763A1"/>
    <w:rsid w:val="0027711D"/>
    <w:rsid w:val="00282DDD"/>
    <w:rsid w:val="002833D4"/>
    <w:rsid w:val="00290DC2"/>
    <w:rsid w:val="002946E1"/>
    <w:rsid w:val="00294D25"/>
    <w:rsid w:val="002A15DC"/>
    <w:rsid w:val="002A3419"/>
    <w:rsid w:val="002A357C"/>
    <w:rsid w:val="002A536C"/>
    <w:rsid w:val="002A5EB7"/>
    <w:rsid w:val="002A67C1"/>
    <w:rsid w:val="002B119A"/>
    <w:rsid w:val="002B3395"/>
    <w:rsid w:val="002B4345"/>
    <w:rsid w:val="002B76CD"/>
    <w:rsid w:val="002C158D"/>
    <w:rsid w:val="002C266F"/>
    <w:rsid w:val="002C2C49"/>
    <w:rsid w:val="002C319D"/>
    <w:rsid w:val="002C380A"/>
    <w:rsid w:val="002C7DAE"/>
    <w:rsid w:val="002C7E83"/>
    <w:rsid w:val="002C7F21"/>
    <w:rsid w:val="002D2C60"/>
    <w:rsid w:val="002D3936"/>
    <w:rsid w:val="002D6CD0"/>
    <w:rsid w:val="002D7650"/>
    <w:rsid w:val="002D7D5E"/>
    <w:rsid w:val="002E065D"/>
    <w:rsid w:val="002E25DD"/>
    <w:rsid w:val="002E560D"/>
    <w:rsid w:val="002E7162"/>
    <w:rsid w:val="002E74FC"/>
    <w:rsid w:val="002F3012"/>
    <w:rsid w:val="002F4DF5"/>
    <w:rsid w:val="002F529D"/>
    <w:rsid w:val="002F7086"/>
    <w:rsid w:val="003000AE"/>
    <w:rsid w:val="00301AB6"/>
    <w:rsid w:val="00304727"/>
    <w:rsid w:val="00306FFD"/>
    <w:rsid w:val="0031304E"/>
    <w:rsid w:val="003150AA"/>
    <w:rsid w:val="00315FAC"/>
    <w:rsid w:val="0032046C"/>
    <w:rsid w:val="003215E6"/>
    <w:rsid w:val="003257EE"/>
    <w:rsid w:val="0032590F"/>
    <w:rsid w:val="00327592"/>
    <w:rsid w:val="00335CF7"/>
    <w:rsid w:val="00337700"/>
    <w:rsid w:val="003459E7"/>
    <w:rsid w:val="00346930"/>
    <w:rsid w:val="003474AC"/>
    <w:rsid w:val="0034795B"/>
    <w:rsid w:val="00347A17"/>
    <w:rsid w:val="003520EA"/>
    <w:rsid w:val="003543EE"/>
    <w:rsid w:val="00360598"/>
    <w:rsid w:val="003646BF"/>
    <w:rsid w:val="00364B05"/>
    <w:rsid w:val="00366E31"/>
    <w:rsid w:val="00374E1A"/>
    <w:rsid w:val="003754FD"/>
    <w:rsid w:val="003770BC"/>
    <w:rsid w:val="003802E6"/>
    <w:rsid w:val="0038047A"/>
    <w:rsid w:val="00385315"/>
    <w:rsid w:val="00385D35"/>
    <w:rsid w:val="00386EA9"/>
    <w:rsid w:val="00390427"/>
    <w:rsid w:val="0039291A"/>
    <w:rsid w:val="00393AFA"/>
    <w:rsid w:val="003A1AA3"/>
    <w:rsid w:val="003A2105"/>
    <w:rsid w:val="003A3F7D"/>
    <w:rsid w:val="003A75F2"/>
    <w:rsid w:val="003B0BDA"/>
    <w:rsid w:val="003B5F13"/>
    <w:rsid w:val="003B7AAD"/>
    <w:rsid w:val="003B7B9A"/>
    <w:rsid w:val="003B7C7D"/>
    <w:rsid w:val="003C1A9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3583C"/>
    <w:rsid w:val="00443B6E"/>
    <w:rsid w:val="00443EB3"/>
    <w:rsid w:val="00444F1B"/>
    <w:rsid w:val="0044634B"/>
    <w:rsid w:val="00447111"/>
    <w:rsid w:val="004517EC"/>
    <w:rsid w:val="00454731"/>
    <w:rsid w:val="00454A6F"/>
    <w:rsid w:val="00455F05"/>
    <w:rsid w:val="004564B3"/>
    <w:rsid w:val="00457C6C"/>
    <w:rsid w:val="0046116D"/>
    <w:rsid w:val="004615D7"/>
    <w:rsid w:val="004620CB"/>
    <w:rsid w:val="00462D33"/>
    <w:rsid w:val="00464F1A"/>
    <w:rsid w:val="004664A6"/>
    <w:rsid w:val="004703E9"/>
    <w:rsid w:val="004710B1"/>
    <w:rsid w:val="004720D7"/>
    <w:rsid w:val="00472CEE"/>
    <w:rsid w:val="00480781"/>
    <w:rsid w:val="004900AA"/>
    <w:rsid w:val="00491CD6"/>
    <w:rsid w:val="004930B8"/>
    <w:rsid w:val="00493CE8"/>
    <w:rsid w:val="00493EB8"/>
    <w:rsid w:val="00494B23"/>
    <w:rsid w:val="00497691"/>
    <w:rsid w:val="004A0E4D"/>
    <w:rsid w:val="004A1D7F"/>
    <w:rsid w:val="004A6691"/>
    <w:rsid w:val="004A7809"/>
    <w:rsid w:val="004B4FE1"/>
    <w:rsid w:val="004B543F"/>
    <w:rsid w:val="004C1377"/>
    <w:rsid w:val="004C1A05"/>
    <w:rsid w:val="004C5273"/>
    <w:rsid w:val="004C69D0"/>
    <w:rsid w:val="004D0B25"/>
    <w:rsid w:val="004D5717"/>
    <w:rsid w:val="004D5D2D"/>
    <w:rsid w:val="004D74B7"/>
    <w:rsid w:val="004D7CFF"/>
    <w:rsid w:val="004D7F3C"/>
    <w:rsid w:val="004E030B"/>
    <w:rsid w:val="004E1314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FFC"/>
    <w:rsid w:val="004F6400"/>
    <w:rsid w:val="004F731E"/>
    <w:rsid w:val="004F7B10"/>
    <w:rsid w:val="004F7E7F"/>
    <w:rsid w:val="00502247"/>
    <w:rsid w:val="005049F3"/>
    <w:rsid w:val="0050569C"/>
    <w:rsid w:val="0050592A"/>
    <w:rsid w:val="00511549"/>
    <w:rsid w:val="005158E6"/>
    <w:rsid w:val="00515C9C"/>
    <w:rsid w:val="00517E28"/>
    <w:rsid w:val="0052342B"/>
    <w:rsid w:val="00524985"/>
    <w:rsid w:val="00525463"/>
    <w:rsid w:val="00527522"/>
    <w:rsid w:val="0052779D"/>
    <w:rsid w:val="005310AF"/>
    <w:rsid w:val="00532FEB"/>
    <w:rsid w:val="00540D78"/>
    <w:rsid w:val="005441A2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04F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3A0E"/>
    <w:rsid w:val="00594E04"/>
    <w:rsid w:val="005961D3"/>
    <w:rsid w:val="005A4C45"/>
    <w:rsid w:val="005B2D0C"/>
    <w:rsid w:val="005B5F5D"/>
    <w:rsid w:val="005B764D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57B4"/>
    <w:rsid w:val="006169E2"/>
    <w:rsid w:val="00620237"/>
    <w:rsid w:val="00624D35"/>
    <w:rsid w:val="006273C2"/>
    <w:rsid w:val="00630158"/>
    <w:rsid w:val="006302C8"/>
    <w:rsid w:val="00634772"/>
    <w:rsid w:val="006349DD"/>
    <w:rsid w:val="00634D75"/>
    <w:rsid w:val="00635948"/>
    <w:rsid w:val="0063669B"/>
    <w:rsid w:val="006377E2"/>
    <w:rsid w:val="00637A78"/>
    <w:rsid w:val="0064223C"/>
    <w:rsid w:val="0064321E"/>
    <w:rsid w:val="00643E13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2627"/>
    <w:rsid w:val="00687B9E"/>
    <w:rsid w:val="006910AB"/>
    <w:rsid w:val="00692035"/>
    <w:rsid w:val="006925F6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0A2A"/>
    <w:rsid w:val="006C2E33"/>
    <w:rsid w:val="006C58D3"/>
    <w:rsid w:val="006C5F2C"/>
    <w:rsid w:val="006C7344"/>
    <w:rsid w:val="006D0384"/>
    <w:rsid w:val="006D0F1D"/>
    <w:rsid w:val="006D3BA3"/>
    <w:rsid w:val="006D6AEC"/>
    <w:rsid w:val="006D6D71"/>
    <w:rsid w:val="006E2835"/>
    <w:rsid w:val="006E4644"/>
    <w:rsid w:val="006E5245"/>
    <w:rsid w:val="006E6F0C"/>
    <w:rsid w:val="006F0408"/>
    <w:rsid w:val="006F4E7B"/>
    <w:rsid w:val="006F56E5"/>
    <w:rsid w:val="006F6252"/>
    <w:rsid w:val="006F7510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0534"/>
    <w:rsid w:val="00772965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3E35"/>
    <w:rsid w:val="00793FB9"/>
    <w:rsid w:val="0079452C"/>
    <w:rsid w:val="007958E8"/>
    <w:rsid w:val="007A20E6"/>
    <w:rsid w:val="007A247C"/>
    <w:rsid w:val="007A48AA"/>
    <w:rsid w:val="007A56C0"/>
    <w:rsid w:val="007A5E5E"/>
    <w:rsid w:val="007B0A2A"/>
    <w:rsid w:val="007B164A"/>
    <w:rsid w:val="007B29C8"/>
    <w:rsid w:val="007B3719"/>
    <w:rsid w:val="007B5344"/>
    <w:rsid w:val="007B5C17"/>
    <w:rsid w:val="007C565B"/>
    <w:rsid w:val="007C6388"/>
    <w:rsid w:val="007C7D32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F3D0C"/>
    <w:rsid w:val="007F41B8"/>
    <w:rsid w:val="008007EB"/>
    <w:rsid w:val="00800A8F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68C7"/>
    <w:rsid w:val="00816D35"/>
    <w:rsid w:val="00817A71"/>
    <w:rsid w:val="008202D5"/>
    <w:rsid w:val="008206F4"/>
    <w:rsid w:val="00822625"/>
    <w:rsid w:val="00822CA2"/>
    <w:rsid w:val="0083168C"/>
    <w:rsid w:val="00832862"/>
    <w:rsid w:val="00832F9D"/>
    <w:rsid w:val="00833484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5BD7"/>
    <w:rsid w:val="00876248"/>
    <w:rsid w:val="00876A97"/>
    <w:rsid w:val="00876B21"/>
    <w:rsid w:val="0088087B"/>
    <w:rsid w:val="00880904"/>
    <w:rsid w:val="00887772"/>
    <w:rsid w:val="00890311"/>
    <w:rsid w:val="00892665"/>
    <w:rsid w:val="008949EE"/>
    <w:rsid w:val="008A079E"/>
    <w:rsid w:val="008A0BF4"/>
    <w:rsid w:val="008A26E1"/>
    <w:rsid w:val="008A2807"/>
    <w:rsid w:val="008A3A6B"/>
    <w:rsid w:val="008A76D2"/>
    <w:rsid w:val="008B0A14"/>
    <w:rsid w:val="008B3B26"/>
    <w:rsid w:val="008B4413"/>
    <w:rsid w:val="008C2813"/>
    <w:rsid w:val="008C4DB1"/>
    <w:rsid w:val="008C4E71"/>
    <w:rsid w:val="008C5FA4"/>
    <w:rsid w:val="008C78E0"/>
    <w:rsid w:val="008D094F"/>
    <w:rsid w:val="008D3369"/>
    <w:rsid w:val="008D687A"/>
    <w:rsid w:val="008D7126"/>
    <w:rsid w:val="008E311E"/>
    <w:rsid w:val="008E5B1C"/>
    <w:rsid w:val="008F25CF"/>
    <w:rsid w:val="00900255"/>
    <w:rsid w:val="00900601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2CDC"/>
    <w:rsid w:val="00924FD2"/>
    <w:rsid w:val="00925CA5"/>
    <w:rsid w:val="00926652"/>
    <w:rsid w:val="00930069"/>
    <w:rsid w:val="00931260"/>
    <w:rsid w:val="00933751"/>
    <w:rsid w:val="009350F3"/>
    <w:rsid w:val="0093772C"/>
    <w:rsid w:val="0094009F"/>
    <w:rsid w:val="009403CE"/>
    <w:rsid w:val="00940B77"/>
    <w:rsid w:val="00942FBD"/>
    <w:rsid w:val="00944FF6"/>
    <w:rsid w:val="009468F8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6148"/>
    <w:rsid w:val="00972174"/>
    <w:rsid w:val="00972FE3"/>
    <w:rsid w:val="0097360D"/>
    <w:rsid w:val="00973F80"/>
    <w:rsid w:val="00974165"/>
    <w:rsid w:val="00975953"/>
    <w:rsid w:val="009800DD"/>
    <w:rsid w:val="00982518"/>
    <w:rsid w:val="009841AB"/>
    <w:rsid w:val="0098510B"/>
    <w:rsid w:val="00992AB2"/>
    <w:rsid w:val="00992BDB"/>
    <w:rsid w:val="00993213"/>
    <w:rsid w:val="00997670"/>
    <w:rsid w:val="009A08B1"/>
    <w:rsid w:val="009A0AAC"/>
    <w:rsid w:val="009A19FE"/>
    <w:rsid w:val="009A3B79"/>
    <w:rsid w:val="009A3CF4"/>
    <w:rsid w:val="009A43F2"/>
    <w:rsid w:val="009A71ED"/>
    <w:rsid w:val="009A7353"/>
    <w:rsid w:val="009B1A6A"/>
    <w:rsid w:val="009B1B44"/>
    <w:rsid w:val="009B2545"/>
    <w:rsid w:val="009B2847"/>
    <w:rsid w:val="009B5501"/>
    <w:rsid w:val="009C38BB"/>
    <w:rsid w:val="009C69F7"/>
    <w:rsid w:val="009C7497"/>
    <w:rsid w:val="009C7F94"/>
    <w:rsid w:val="009D1E85"/>
    <w:rsid w:val="009D297B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5D9D"/>
    <w:rsid w:val="00A16CDB"/>
    <w:rsid w:val="00A2095E"/>
    <w:rsid w:val="00A211D3"/>
    <w:rsid w:val="00A2209A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5F55"/>
    <w:rsid w:val="00A460E3"/>
    <w:rsid w:val="00A463DD"/>
    <w:rsid w:val="00A47A92"/>
    <w:rsid w:val="00A5163E"/>
    <w:rsid w:val="00A5421D"/>
    <w:rsid w:val="00A571F2"/>
    <w:rsid w:val="00A57D53"/>
    <w:rsid w:val="00A619A5"/>
    <w:rsid w:val="00A6245F"/>
    <w:rsid w:val="00A6518B"/>
    <w:rsid w:val="00A72193"/>
    <w:rsid w:val="00A72730"/>
    <w:rsid w:val="00A73B91"/>
    <w:rsid w:val="00A74A1B"/>
    <w:rsid w:val="00A74DFE"/>
    <w:rsid w:val="00A7602E"/>
    <w:rsid w:val="00A7657A"/>
    <w:rsid w:val="00A80AE7"/>
    <w:rsid w:val="00A85A18"/>
    <w:rsid w:val="00A867EF"/>
    <w:rsid w:val="00A86EEE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798B"/>
    <w:rsid w:val="00AB19F9"/>
    <w:rsid w:val="00AB3F1F"/>
    <w:rsid w:val="00AB4935"/>
    <w:rsid w:val="00AB6218"/>
    <w:rsid w:val="00AB69EB"/>
    <w:rsid w:val="00AB723A"/>
    <w:rsid w:val="00AC7304"/>
    <w:rsid w:val="00AD01F2"/>
    <w:rsid w:val="00AD4E2B"/>
    <w:rsid w:val="00AD5B55"/>
    <w:rsid w:val="00AD5C34"/>
    <w:rsid w:val="00AD5F71"/>
    <w:rsid w:val="00AE2962"/>
    <w:rsid w:val="00AE38BC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2681"/>
    <w:rsid w:val="00B0371A"/>
    <w:rsid w:val="00B039F3"/>
    <w:rsid w:val="00B046C6"/>
    <w:rsid w:val="00B04789"/>
    <w:rsid w:val="00B10022"/>
    <w:rsid w:val="00B13C13"/>
    <w:rsid w:val="00B13E2F"/>
    <w:rsid w:val="00B142C3"/>
    <w:rsid w:val="00B246A0"/>
    <w:rsid w:val="00B25276"/>
    <w:rsid w:val="00B30C88"/>
    <w:rsid w:val="00B348C1"/>
    <w:rsid w:val="00B36B0B"/>
    <w:rsid w:val="00B42E67"/>
    <w:rsid w:val="00B42EFC"/>
    <w:rsid w:val="00B43D06"/>
    <w:rsid w:val="00B47AD1"/>
    <w:rsid w:val="00B51380"/>
    <w:rsid w:val="00B51A63"/>
    <w:rsid w:val="00B536C2"/>
    <w:rsid w:val="00B53BDB"/>
    <w:rsid w:val="00B56EB6"/>
    <w:rsid w:val="00B57B49"/>
    <w:rsid w:val="00B60620"/>
    <w:rsid w:val="00B63288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A05C4"/>
    <w:rsid w:val="00BA0CF9"/>
    <w:rsid w:val="00BA1B97"/>
    <w:rsid w:val="00BA6DF3"/>
    <w:rsid w:val="00BB1C97"/>
    <w:rsid w:val="00BB4701"/>
    <w:rsid w:val="00BB574C"/>
    <w:rsid w:val="00BC17F5"/>
    <w:rsid w:val="00BC1F37"/>
    <w:rsid w:val="00BC4582"/>
    <w:rsid w:val="00BC522D"/>
    <w:rsid w:val="00BC76EA"/>
    <w:rsid w:val="00BD5EBE"/>
    <w:rsid w:val="00BE2E11"/>
    <w:rsid w:val="00BE3279"/>
    <w:rsid w:val="00BE35D7"/>
    <w:rsid w:val="00BE558F"/>
    <w:rsid w:val="00BE5CA1"/>
    <w:rsid w:val="00BF288A"/>
    <w:rsid w:val="00BF3505"/>
    <w:rsid w:val="00BF351F"/>
    <w:rsid w:val="00BF74D7"/>
    <w:rsid w:val="00BF770B"/>
    <w:rsid w:val="00C0116D"/>
    <w:rsid w:val="00C0169F"/>
    <w:rsid w:val="00C020F7"/>
    <w:rsid w:val="00C03AE5"/>
    <w:rsid w:val="00C0533B"/>
    <w:rsid w:val="00C05D24"/>
    <w:rsid w:val="00C07C42"/>
    <w:rsid w:val="00C106B4"/>
    <w:rsid w:val="00C1154A"/>
    <w:rsid w:val="00C129C8"/>
    <w:rsid w:val="00C1330C"/>
    <w:rsid w:val="00C1567D"/>
    <w:rsid w:val="00C1665F"/>
    <w:rsid w:val="00C23915"/>
    <w:rsid w:val="00C23ECF"/>
    <w:rsid w:val="00C2579B"/>
    <w:rsid w:val="00C25C10"/>
    <w:rsid w:val="00C25CD9"/>
    <w:rsid w:val="00C27509"/>
    <w:rsid w:val="00C317E8"/>
    <w:rsid w:val="00C32331"/>
    <w:rsid w:val="00C3429B"/>
    <w:rsid w:val="00C34798"/>
    <w:rsid w:val="00C348CD"/>
    <w:rsid w:val="00C34BF6"/>
    <w:rsid w:val="00C414A5"/>
    <w:rsid w:val="00C44AB6"/>
    <w:rsid w:val="00C44CBD"/>
    <w:rsid w:val="00C50619"/>
    <w:rsid w:val="00C50BA7"/>
    <w:rsid w:val="00C51759"/>
    <w:rsid w:val="00C56817"/>
    <w:rsid w:val="00C57F3A"/>
    <w:rsid w:val="00C60095"/>
    <w:rsid w:val="00C61654"/>
    <w:rsid w:val="00C631ED"/>
    <w:rsid w:val="00C6385B"/>
    <w:rsid w:val="00C63D8C"/>
    <w:rsid w:val="00C63E97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A0FED"/>
    <w:rsid w:val="00CA275D"/>
    <w:rsid w:val="00CA2E3C"/>
    <w:rsid w:val="00CA3D7D"/>
    <w:rsid w:val="00CB030D"/>
    <w:rsid w:val="00CC0532"/>
    <w:rsid w:val="00CC0888"/>
    <w:rsid w:val="00CC2862"/>
    <w:rsid w:val="00CC7529"/>
    <w:rsid w:val="00CC76F5"/>
    <w:rsid w:val="00CD0E9B"/>
    <w:rsid w:val="00CD13D0"/>
    <w:rsid w:val="00CD3576"/>
    <w:rsid w:val="00CD6691"/>
    <w:rsid w:val="00CE3AA3"/>
    <w:rsid w:val="00CE50F5"/>
    <w:rsid w:val="00CE56CA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21A5"/>
    <w:rsid w:val="00D140B4"/>
    <w:rsid w:val="00D14458"/>
    <w:rsid w:val="00D16356"/>
    <w:rsid w:val="00D2108D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3CFC"/>
    <w:rsid w:val="00D44A1D"/>
    <w:rsid w:val="00D454B1"/>
    <w:rsid w:val="00D45A13"/>
    <w:rsid w:val="00D47872"/>
    <w:rsid w:val="00D50ABA"/>
    <w:rsid w:val="00D53254"/>
    <w:rsid w:val="00D5454C"/>
    <w:rsid w:val="00D54AE0"/>
    <w:rsid w:val="00D57CD6"/>
    <w:rsid w:val="00D6022A"/>
    <w:rsid w:val="00D60524"/>
    <w:rsid w:val="00D634CA"/>
    <w:rsid w:val="00D6609F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BB3"/>
    <w:rsid w:val="00D84F26"/>
    <w:rsid w:val="00D85BF1"/>
    <w:rsid w:val="00D863EB"/>
    <w:rsid w:val="00D86BCE"/>
    <w:rsid w:val="00D90052"/>
    <w:rsid w:val="00D90D97"/>
    <w:rsid w:val="00D91B36"/>
    <w:rsid w:val="00D91B66"/>
    <w:rsid w:val="00D93028"/>
    <w:rsid w:val="00D949F1"/>
    <w:rsid w:val="00DA1685"/>
    <w:rsid w:val="00DA2D9A"/>
    <w:rsid w:val="00DA644A"/>
    <w:rsid w:val="00DA647A"/>
    <w:rsid w:val="00DA6C6C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160A"/>
    <w:rsid w:val="00DD26C2"/>
    <w:rsid w:val="00DD46E4"/>
    <w:rsid w:val="00DE2661"/>
    <w:rsid w:val="00DE2B08"/>
    <w:rsid w:val="00DE3249"/>
    <w:rsid w:val="00DE571E"/>
    <w:rsid w:val="00DE7204"/>
    <w:rsid w:val="00DF7B0A"/>
    <w:rsid w:val="00E0066A"/>
    <w:rsid w:val="00E010F1"/>
    <w:rsid w:val="00E020BD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33BE"/>
    <w:rsid w:val="00E25D21"/>
    <w:rsid w:val="00E25DD1"/>
    <w:rsid w:val="00E27187"/>
    <w:rsid w:val="00E3235E"/>
    <w:rsid w:val="00E3490B"/>
    <w:rsid w:val="00E35B8D"/>
    <w:rsid w:val="00E379FC"/>
    <w:rsid w:val="00E42CEA"/>
    <w:rsid w:val="00E4472E"/>
    <w:rsid w:val="00E476F4"/>
    <w:rsid w:val="00E52592"/>
    <w:rsid w:val="00E54D9C"/>
    <w:rsid w:val="00E5683E"/>
    <w:rsid w:val="00E57BEB"/>
    <w:rsid w:val="00E604BF"/>
    <w:rsid w:val="00E61D2B"/>
    <w:rsid w:val="00E62856"/>
    <w:rsid w:val="00E635A1"/>
    <w:rsid w:val="00E63666"/>
    <w:rsid w:val="00E64D5F"/>
    <w:rsid w:val="00E67204"/>
    <w:rsid w:val="00E67A0E"/>
    <w:rsid w:val="00E715F5"/>
    <w:rsid w:val="00E72207"/>
    <w:rsid w:val="00E730CE"/>
    <w:rsid w:val="00E74163"/>
    <w:rsid w:val="00E755A9"/>
    <w:rsid w:val="00E7735B"/>
    <w:rsid w:val="00E80E65"/>
    <w:rsid w:val="00E83025"/>
    <w:rsid w:val="00E84C93"/>
    <w:rsid w:val="00E925C3"/>
    <w:rsid w:val="00E92DBD"/>
    <w:rsid w:val="00E94526"/>
    <w:rsid w:val="00E9459E"/>
    <w:rsid w:val="00E95AF6"/>
    <w:rsid w:val="00E970F6"/>
    <w:rsid w:val="00EA03AB"/>
    <w:rsid w:val="00EA10A9"/>
    <w:rsid w:val="00EA3196"/>
    <w:rsid w:val="00EA63DF"/>
    <w:rsid w:val="00EA7A1F"/>
    <w:rsid w:val="00EA7C1B"/>
    <w:rsid w:val="00EB0B22"/>
    <w:rsid w:val="00EB1F16"/>
    <w:rsid w:val="00EB27FA"/>
    <w:rsid w:val="00EB2858"/>
    <w:rsid w:val="00EB5401"/>
    <w:rsid w:val="00EC184F"/>
    <w:rsid w:val="00EC2881"/>
    <w:rsid w:val="00EC3716"/>
    <w:rsid w:val="00EC3E46"/>
    <w:rsid w:val="00EC5C6F"/>
    <w:rsid w:val="00EC74F0"/>
    <w:rsid w:val="00ED04C7"/>
    <w:rsid w:val="00ED1568"/>
    <w:rsid w:val="00ED16F0"/>
    <w:rsid w:val="00ED1F48"/>
    <w:rsid w:val="00ED2D71"/>
    <w:rsid w:val="00ED3675"/>
    <w:rsid w:val="00EE1756"/>
    <w:rsid w:val="00EE1CB6"/>
    <w:rsid w:val="00EE3BD4"/>
    <w:rsid w:val="00EE3C3C"/>
    <w:rsid w:val="00EE6978"/>
    <w:rsid w:val="00EE7E6F"/>
    <w:rsid w:val="00EF063B"/>
    <w:rsid w:val="00EF07C1"/>
    <w:rsid w:val="00EF5129"/>
    <w:rsid w:val="00EF6BA1"/>
    <w:rsid w:val="00F0070A"/>
    <w:rsid w:val="00F038C3"/>
    <w:rsid w:val="00F04C74"/>
    <w:rsid w:val="00F05B78"/>
    <w:rsid w:val="00F05B79"/>
    <w:rsid w:val="00F0752A"/>
    <w:rsid w:val="00F07540"/>
    <w:rsid w:val="00F102DA"/>
    <w:rsid w:val="00F11264"/>
    <w:rsid w:val="00F114E3"/>
    <w:rsid w:val="00F13EE6"/>
    <w:rsid w:val="00F145C3"/>
    <w:rsid w:val="00F14E3D"/>
    <w:rsid w:val="00F15890"/>
    <w:rsid w:val="00F16660"/>
    <w:rsid w:val="00F1725F"/>
    <w:rsid w:val="00F2231B"/>
    <w:rsid w:val="00F24CF7"/>
    <w:rsid w:val="00F31512"/>
    <w:rsid w:val="00F34A64"/>
    <w:rsid w:val="00F354B8"/>
    <w:rsid w:val="00F357A7"/>
    <w:rsid w:val="00F37A0C"/>
    <w:rsid w:val="00F4031A"/>
    <w:rsid w:val="00F4238C"/>
    <w:rsid w:val="00F42416"/>
    <w:rsid w:val="00F47179"/>
    <w:rsid w:val="00F50AAD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08F3"/>
    <w:rsid w:val="00F7105A"/>
    <w:rsid w:val="00F73EBC"/>
    <w:rsid w:val="00F75333"/>
    <w:rsid w:val="00F76011"/>
    <w:rsid w:val="00F76BCF"/>
    <w:rsid w:val="00F819B4"/>
    <w:rsid w:val="00F82586"/>
    <w:rsid w:val="00F827BD"/>
    <w:rsid w:val="00F83F78"/>
    <w:rsid w:val="00F86329"/>
    <w:rsid w:val="00F86439"/>
    <w:rsid w:val="00F920F0"/>
    <w:rsid w:val="00F92FC6"/>
    <w:rsid w:val="00F9399A"/>
    <w:rsid w:val="00F94FB3"/>
    <w:rsid w:val="00F97077"/>
    <w:rsid w:val="00FA142E"/>
    <w:rsid w:val="00FA4D6F"/>
    <w:rsid w:val="00FB1175"/>
    <w:rsid w:val="00FB1A8F"/>
    <w:rsid w:val="00FB2173"/>
    <w:rsid w:val="00FB249B"/>
    <w:rsid w:val="00FB28CE"/>
    <w:rsid w:val="00FB2DDB"/>
    <w:rsid w:val="00FB69F1"/>
    <w:rsid w:val="00FC057A"/>
    <w:rsid w:val="00FC1A2D"/>
    <w:rsid w:val="00FC33BC"/>
    <w:rsid w:val="00FC6277"/>
    <w:rsid w:val="00FC6587"/>
    <w:rsid w:val="00FC71A1"/>
    <w:rsid w:val="00FC778D"/>
    <w:rsid w:val="00FD4C7C"/>
    <w:rsid w:val="00FD5A0D"/>
    <w:rsid w:val="00FE1BD5"/>
    <w:rsid w:val="00FE3AE8"/>
    <w:rsid w:val="00FE3EC0"/>
    <w:rsid w:val="00FE5E54"/>
    <w:rsid w:val="00FE750C"/>
    <w:rsid w:val="00FE7816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6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hyperlink" Target="https://arabadvisors.com/client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abadviso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abadvisors.com/product/a-scorecard-of-key-performance-indicators-of-cellular-operators-in-the-arab-world-part-tw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abadvisors.com/product/a-scorecard-of-key-performance-indicators-of-cellular-operators-in-the-arab-world-part-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Relationship Id="rId14" Type="http://schemas.openxmlformats.org/officeDocument/2006/relationships/hyperlink" Target="http://www.arabadviso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Advisors Group</Company>
  <LinksUpToDate>false</LinksUpToDate>
  <CharactersWithSpaces>4258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Hiba Rabadi</cp:lastModifiedBy>
  <cp:revision>3</cp:revision>
  <cp:lastPrinted>2018-08-26T11:03:00Z</cp:lastPrinted>
  <dcterms:created xsi:type="dcterms:W3CDTF">2024-01-31T07:22:00Z</dcterms:created>
  <dcterms:modified xsi:type="dcterms:W3CDTF">2024-01-31T07:26:00Z</dcterms:modified>
</cp:coreProperties>
</file>